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Raifeld Pavel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1350 OLD BAYSHORE HIGHWAY,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BURLINGAME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Innoviva,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284,799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withheld by the Issuer to satisfy income tax withholding obligations associated with the quarterly vesting of previously granted employee equity grants.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Pavel Raifeld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3426" TargetMode="External"/><Relationship Id="rId5" Type="http://schemas.openxmlformats.org/officeDocument/2006/relationships/hyperlink" Target="http://www.sec.gov/cgi-bin/browse-edgar?action=getcompany&amp;CIK=00010800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3209</Characters>
  <CharactersWithSpaces>3729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