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December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INNOVIVA,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000-30319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94-3265960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484" w:space="720"/>
            <w:col w:w="2620" w:space="720"/>
            <w:col w:w="2480"/>
          </w:cols>
          <w:pgMar w:left="436" w:top="368" w:right="439" w:bottom="1440" w:gutter="0" w:footer="0" w:header="0"/>
          <w:type w:val="continuous"/>
        </w:sectPr>
      </w:pP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1350 Old Bayshore Highway, Suite 400</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Burlingame, California 94010</w:t>
      </w:r>
    </w:p>
    <w:p>
      <w:pPr>
        <w:sectPr>
          <w:pgSz w:w="11900" w:h="16838" w:orient="portrait"/>
          <w:cols w:equalWidth="0" w:num="1">
            <w:col w:w="11024"/>
          </w:cols>
          <w:pgMar w:left="436" w:top="368" w:right="439" w:bottom="1440" w:gutter="0" w:footer="0" w:header="0"/>
          <w:type w:val="continuous"/>
        </w:sectPr>
      </w:pPr>
    </w:p>
    <w:p>
      <w:pPr>
        <w:spacing w:after="0" w:line="23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(650) 238-9600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including zip code, and telephone numbers, including area code, of principal executive offices)</w:t>
      </w:r>
    </w:p>
    <w:p>
      <w:pPr>
        <w:spacing w:after="0" w:line="200" w:lineRule="exact"/>
        <w:rPr>
          <w:sz w:val="24"/>
          <w:szCs w:val="24"/>
          <w:color w:val="auto"/>
        </w:rPr>
      </w:pPr>
    </w:p>
    <w:p>
      <w:pPr>
        <w:spacing w:after="0" w:line="217"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INVA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4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On December 11, 2020, Innoviva, Inc. (“</w:t>
      </w:r>
      <w:r>
        <w:rPr>
          <w:rFonts w:ascii="Arial" w:cs="Arial" w:eastAsia="Arial" w:hAnsi="Arial"/>
          <w:sz w:val="17"/>
          <w:szCs w:val="17"/>
          <w:u w:val="single" w:color="auto"/>
          <w:color w:val="auto"/>
        </w:rPr>
        <w:t>Innoviva</w:t>
      </w:r>
      <w:r>
        <w:rPr>
          <w:rFonts w:ascii="Arial" w:cs="Arial" w:eastAsia="Arial" w:hAnsi="Arial"/>
          <w:sz w:val="17"/>
          <w:szCs w:val="17"/>
          <w:color w:val="auto"/>
        </w:rPr>
        <w:t>”) entered into a strategic partnership with Sarissa Capital Management LP (“</w:t>
      </w:r>
      <w:r>
        <w:rPr>
          <w:rFonts w:ascii="Arial" w:cs="Arial" w:eastAsia="Arial" w:hAnsi="Arial"/>
          <w:sz w:val="17"/>
          <w:szCs w:val="17"/>
          <w:u w:val="single" w:color="auto"/>
          <w:color w:val="auto"/>
        </w:rPr>
        <w:t>Sarissa</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Capital</w:t>
      </w:r>
      <w:r>
        <w:rPr>
          <w:rFonts w:ascii="Arial" w:cs="Arial" w:eastAsia="Arial" w:hAnsi="Arial"/>
          <w:sz w:val="17"/>
          <w:szCs w:val="17"/>
          <w:color w:val="auto"/>
        </w:rPr>
        <w:t>”) designed to accelerate the execution of its strategy and enhance returns on its capital. The partnership comprises (i) a strategic advisory agreement, pursuant to which and subject to the terms set forth therein Sarissa Capital will assist Innoviva in the development of its acquisition strategy and (ii) an investment by Innoviva into an investment fund managed by Sarissa Capital to enhance returns on its capital, as further described herein. The partnership is part of Innoviva’s continued focus on increasing shareholder value by diversifying its primary royalty management business that includes respiratory assets partnered with Glaxo Group Limited and optimizing its capital allocation, both through actively pursuing opportunistic acquisitions of promising companies and assets in the healthcare industry and enhancing the returns on its capital. Innoviva believes that Sarissa Capital’s strategic position in the healthcare ecosystem, differentiated investment approach and strategic acumen are highly synergistic with our capital deployment strategy and position us well for value creation.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Strategic Advisory Agreement</w:t>
      </w:r>
    </w:p>
    <w:p>
      <w:pPr>
        <w:spacing w:after="0" w:line="117"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As part of the partnership, Innoviva and Sarissa Capital entered into a Strategic Advisory Agreement (the “</w:t>
      </w:r>
      <w:r>
        <w:rPr>
          <w:rFonts w:ascii="Arial" w:cs="Arial" w:eastAsia="Arial" w:hAnsi="Arial"/>
          <w:sz w:val="16"/>
          <w:szCs w:val="16"/>
          <w:u w:val="single" w:color="auto"/>
          <w:color w:val="auto"/>
        </w:rPr>
        <w:t>Services Agreement</w:t>
      </w:r>
      <w:r>
        <w:rPr>
          <w:rFonts w:ascii="Arial" w:cs="Arial" w:eastAsia="Arial" w:hAnsi="Arial"/>
          <w:sz w:val="16"/>
          <w:szCs w:val="16"/>
          <w:color w:val="auto"/>
        </w:rPr>
        <w:t>”), dated December 11, 2020, pursuant to which Sarissa Capital will provide a variety of strategic services to Innoviva in order to assist Innoviva in the development and execution of its acquisition strategy. Pursuant to the terms of the Services Agreement, and subject to the limitations set forth therein, Sarissa Capital will, among other things: (i) assist Innoviva in the development of an overall acquisition and investment process and strategy; (ii) advise Innoviva on market trends, market dynamics and merger and acquisition activity; (iii) identify potential transaction targets; (iv) assist in due diligence of transaction targets and the negotiation and execution of transactions; (v) advise on the growth and operational plans, performance and integration of target companies once an investment or acquisition is made; and (vi) assist in the identification of director and officer candidates for target companies. The Services Agreement provides for the development of an annual work plan to implement the strategic services, and regular collaboration between Sarissa Capital and Innoviva to discuss the work plan and refine the strategic services. Innoviva believes that the partnership will allow it to utilize the expertise and market reach of Sarissa Capital to optimize Innoviva’s proprietary investment program, targeting strategic control investments in the healthcare industry, while also focusing on Innoviva’s primary business of managing its valuable royalty portfolio.</w:t>
      </w:r>
    </w:p>
    <w:p>
      <w:pPr>
        <w:spacing w:after="0" w:line="17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Services Agreement includes customary indemnification and exculpation provisions and is terminable by Innoviva at any time. In addition, Sarissa Capital may terminate the Services Agreement at any time in the event that one or more withdrawal requests to the Partnership (as defined below) are made which, in the aggregate, cause the value of the interest of Strategic Partners (as defined below) in the Partnership to be less than 50% of the initial subscription amount, as adjusted for any cumulative profits and losses.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of Capital</w:t>
      </w:r>
    </w:p>
    <w:p>
      <w:pPr>
        <w:spacing w:after="0" w:line="117"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In addition to the Services Agreement, as part of Innoviva’s efforts to optimize its cash position and increase yield, on December 11, 2020, Innoviva Strategic Partners LLC, a wholly-owned subsidiary of Innoviva (“</w:t>
      </w:r>
      <w:r>
        <w:rPr>
          <w:rFonts w:ascii="Arial" w:cs="Arial" w:eastAsia="Arial" w:hAnsi="Arial"/>
          <w:sz w:val="17"/>
          <w:szCs w:val="17"/>
          <w:u w:val="single" w:color="auto"/>
          <w:color w:val="auto"/>
        </w:rPr>
        <w:t>Strategic Partners</w:t>
      </w:r>
      <w:r>
        <w:rPr>
          <w:rFonts w:ascii="Arial" w:cs="Arial" w:eastAsia="Arial" w:hAnsi="Arial"/>
          <w:sz w:val="17"/>
          <w:szCs w:val="17"/>
          <w:color w:val="auto"/>
        </w:rPr>
        <w:t>”), entered into a subscription agreement (the “</w:t>
      </w:r>
      <w:r>
        <w:rPr>
          <w:rFonts w:ascii="Arial" w:cs="Arial" w:eastAsia="Arial" w:hAnsi="Arial"/>
          <w:sz w:val="17"/>
          <w:szCs w:val="17"/>
          <w:u w:val="single" w:color="auto"/>
          <w:color w:val="auto"/>
        </w:rPr>
        <w:t>Subscription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an Amended and Restated Limited Partnership Agreement (the “</w:t>
      </w:r>
      <w:r>
        <w:rPr>
          <w:rFonts w:ascii="Arial" w:cs="Arial" w:eastAsia="Arial" w:hAnsi="Arial"/>
          <w:sz w:val="17"/>
          <w:szCs w:val="17"/>
          <w:u w:val="single" w:color="auto"/>
          <w:color w:val="auto"/>
        </w:rPr>
        <w:t>Partnership Agreement</w:t>
      </w:r>
      <w:r>
        <w:rPr>
          <w:rFonts w:ascii="Arial" w:cs="Arial" w:eastAsia="Arial" w:hAnsi="Arial"/>
          <w:sz w:val="17"/>
          <w:szCs w:val="17"/>
          <w:color w:val="auto"/>
        </w:rPr>
        <w:t>” and, together with the Subscription Agreement and the other instruments and agreements referenced therein or contemplated thereby, the “</w:t>
      </w:r>
      <w:r>
        <w:rPr>
          <w:rFonts w:ascii="Arial" w:cs="Arial" w:eastAsia="Arial" w:hAnsi="Arial"/>
          <w:sz w:val="17"/>
          <w:szCs w:val="17"/>
          <w:u w:val="single" w:color="auto"/>
          <w:color w:val="auto"/>
        </w:rPr>
        <w:t>Investment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97" w:right="459" w:bottom="1440" w:gutter="0" w:footer="0" w:header="0"/>
        </w:sectPr>
      </w:pPr>
    </w:p>
    <w:bookmarkStart w:id="2" w:name="page3"/>
    <w:bookmarkEnd w:id="2"/>
    <w:p>
      <w:pPr>
        <w:ind w:right="16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Documents</w:t>
      </w:r>
      <w:r>
        <w:rPr>
          <w:rFonts w:ascii="Arial" w:cs="Arial" w:eastAsia="Arial" w:hAnsi="Arial"/>
          <w:sz w:val="18"/>
          <w:szCs w:val="18"/>
          <w:color w:val="auto"/>
        </w:rPr>
        <w:t>”) pursuant to which Strategic Partners became a limited partner of ISP Fund LP (the “</w:t>
      </w:r>
      <w:r>
        <w:rPr>
          <w:rFonts w:ascii="Arial" w:cs="Arial" w:eastAsia="Arial" w:hAnsi="Arial"/>
          <w:sz w:val="18"/>
          <w:szCs w:val="18"/>
          <w:u w:val="single" w:color="auto"/>
          <w:color w:val="auto"/>
        </w:rPr>
        <w:t>Partnership</w:t>
      </w:r>
      <w:r>
        <w:rPr>
          <w:rFonts w:ascii="Arial" w:cs="Arial" w:eastAsia="Arial" w:hAnsi="Arial"/>
          <w:sz w:val="18"/>
          <w:szCs w:val="18"/>
          <w:color w:val="auto"/>
        </w:rPr>
        <w:t>”). The general partner of the Partnership (the “</w:t>
      </w:r>
      <w:r>
        <w:rPr>
          <w:rFonts w:ascii="Arial" w:cs="Arial" w:eastAsia="Arial" w:hAnsi="Arial"/>
          <w:sz w:val="18"/>
          <w:szCs w:val="18"/>
          <w:u w:val="single" w:color="auto"/>
          <w:color w:val="auto"/>
        </w:rPr>
        <w:t>General Partner</w:t>
      </w:r>
      <w:r>
        <w:rPr>
          <w:rFonts w:ascii="Arial" w:cs="Arial" w:eastAsia="Arial" w:hAnsi="Arial"/>
          <w:sz w:val="18"/>
          <w:szCs w:val="18"/>
          <w:color w:val="auto"/>
        </w:rPr>
        <w:t>”) is an affiliate of Sarissa Capital and, pursuant to an investment management agreement, Sarissa Capital will act as the investment adviser to the Partnership.</w:t>
      </w:r>
    </w:p>
    <w:p>
      <w:pPr>
        <w:spacing w:after="0" w:line="18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Pursuant to the Investment Documents, Strategic Partners made a $300 million initial contribution into the Partnership on a “most favored nations” basis. The Partnership was formed for the purposes of investing in “long-only” securities in the healthcare, pharmaceutical and biotechnology industries. The Partnership Agreement provides certain limitations on the General Partner and the Partnership. Among other things and subject to the limitations set forth in the Partnership Agreement, without the prior approval of Strategic Partners, the Partnership may not participate in any borrowing, leverage or other credit arrangement, enter into certain transactions with Sarissa Capital or its affiliates or invest greater than 20% of the Net Asset Value (as defined in the Partnership Agreement) of the Partnership in the securities of any single issuer (measured at the time of acquisition), however we expect the Partnership’s investments to be concentrated in a few larger positions in order to maximize the synergies between the Partnership Agreement, the Services Agreement and our overall acquisition strategy.</w:t>
      </w:r>
    </w:p>
    <w:p>
      <w:pPr>
        <w:spacing w:after="0" w:line="178"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color w:val="auto"/>
        </w:rPr>
        <w:t>As compensation for the advisory services to be provided to the Partnership, the Partnership Agreement provides for Sarissa Capital to receive a customary management fee from the Partnership, payable quarterly in advance, measured based on the Net Asset Value of Strategic Partners’ capital account in the Partnership. In addition, as more fully described in the Partnership Agreement, the General Partner is entitled to a customary annual performance allocation based on the Net Profits (as defined in the Partnership Agreement) of the Partnership during the annual measurement period (i.e., the excess during the relevant annual measurement period of (x) operating profits of the Partnership plus the realized and unrealized increase in the value of securities held by the Partnership over (y) operating losses of the Partnership plus the realized and unrealized loss in the value of securities held by the Partnership). The performance allocation is payable annually (or a shorter period solely with respect to capital withdrawn from the Partnership prior to year-end) and is calculated based on valuation determinations made by Sarissa Capital or a third-party administrator for the Partnership selected by Sarissa Capital. The foregoing is the sole compensation receivable by Sarissa Capital for the transactions described herein.</w:t>
      </w:r>
    </w:p>
    <w:p>
      <w:pPr>
        <w:spacing w:after="0" w:line="166"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The Partnership Agreement includes a lock-up period of thirty-six months after which Strategic Partners is entitled to make withdrawals from the Partnership as of such lock-up expiration date and each anniversary thereafter, subject to a 25% gating provision. If Strategic Partners wishes to withdraw more than 25% of its capital, such request will be carried over to the successive quarter-end dates until settled in full over a maximum of four quarter-end dates with respect to withdrawal of the full capital account balance. Payments to Strategic Partners in respect of any withdrawal are to be made within 30 days following the relevant withdrawal effective date. In addition, the Partnership Agreement provides for withdrawal rights at any time upon the occurrence of Cause (as defined in the Partnership Agreement) or in the event of a Key Man Event (as defined in the Partnership Agreement) tied to Dr. Alexander Denner ceasing to be the Chief Investment Officer of Sarissa Capital or otherwise ceasing to oversee the investment activity of the Partnership. Following a withdrawal due to Cause or a Key Man Event, the Partnership is required to distribute withdrawal proceeds as promptly as reasonably practicable following the relevant withdrawal date and without the application of the 25% gate or the lock-up.</w:t>
      </w:r>
    </w:p>
    <w:p>
      <w:pPr>
        <w:spacing w:after="0" w:line="166"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The Partnership Agreement also provides that Strategic Partners may elect, from time to time, to receive annual distributions of Net Profits (as defined in the Partnership Agreement) net of accrued and reserved expenses and fees of the Partnership. The Partnership Agreement also requires the Partnership to make distributions to Strategic Partners as necessary to allow Innoviva to maintain compliance with the Investment Company Act of 1940 and the rules and regulations promulgated thereunder.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301" w:right="459" w:bottom="1440" w:gutter="0" w:footer="0" w:header="0"/>
        </w:sectPr>
      </w:pPr>
    </w:p>
    <w:bookmarkStart w:id="3" w:name="page4"/>
    <w:bookmarkEnd w:id="3"/>
    <w:p>
      <w:pPr>
        <w:ind w:right="60"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Partnership Agreement includes co-investment rights pursuant to which Strategic Partners is entitled to invest ratably in investment opportunities presented to the Partnership and other funds and accounts managed by Sarissa Capital, and capacity rights pursuant to which Strategic Partners is entitled to make additional investments into the Partnership on the same preferential terms. The Partnership Agreement also includes a customary “most favored nations” provision, pursuant to which and subject to certain limitations and conditions, Strategic Partners is entitled to receive the benefit of any more favorable terms or conditions (and any related negative terms or obligations) provided to investors in any other fund or account managed by Sarissa Capital or its affiliates pursuing substantially the same investment strategy.</w:t>
      </w:r>
    </w:p>
    <w:p>
      <w:pPr>
        <w:spacing w:after="0" w:line="164" w:lineRule="exact"/>
        <w:rPr>
          <w:sz w:val="20"/>
          <w:szCs w:val="20"/>
          <w:color w:val="auto"/>
        </w:rPr>
      </w:pPr>
    </w:p>
    <w:p>
      <w:pPr>
        <w:ind w:right="900" w:firstLine="991"/>
        <w:spacing w:after="0" w:line="342" w:lineRule="auto"/>
        <w:rPr>
          <w:sz w:val="20"/>
          <w:szCs w:val="20"/>
          <w:color w:val="auto"/>
        </w:rPr>
      </w:pPr>
      <w:r>
        <w:rPr>
          <w:rFonts w:ascii="Arial" w:cs="Arial" w:eastAsia="Arial" w:hAnsi="Arial"/>
          <w:sz w:val="16"/>
          <w:szCs w:val="16"/>
          <w:color w:val="auto"/>
        </w:rPr>
        <w:t>In addition to the terms described above, the Investment Documents include other customary terms and conditions including representations and warranties, indemnities, exculpation, information rights and reporting obligations and allocation of third party expenses.</w:t>
      </w:r>
    </w:p>
    <w:p>
      <w:pPr>
        <w:spacing w:after="0" w:line="12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execution of the Services Agreement and the Investment Documents was approved by a special committee of independent directors of the Innoviva Board represented by independent legal, financial and other advisors. Mark DiPaolo, Esq. and Odysseas D. Kostas, M.D., two of our directors, are partners of Sarissa Capital. Accordingly, these directors have recused themselves to date from any decisions relating to our investment in the Partnership or the Services Agreement.</w:t>
      </w:r>
    </w:p>
    <w:p>
      <w:pPr>
        <w:spacing w:after="0" w:line="187"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The foregoing is a summary description of certain terms of the Services Agreement and the Partnership Agreement and does not purport to be complete, and is qualified in its entirety by reference to the full text of the Services Agreement, which is attached hereto as Exhibit 10.1, and the Partnership Agreement, which is attached hereto as Exhibit 10.2, each of which is incorporated herein by reference.</w:t>
      </w:r>
    </w:p>
    <w:p>
      <w:pPr>
        <w:spacing w:after="0" w:line="3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In connection with the execution of the Services Agreement and the Partnership Agreement, Innoviva sets forth the following information to supplement the risk factors described in Item 1A of Innoviva’s Annual Report on Form 10-K for the fiscal year ended December 31, 2019. The following risk factors should be read in conjunction with the risk factors described in the Annual Report on Form 10-K.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the Services Agreement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b w:val="1"/>
          <w:bCs w:val="1"/>
          <w:i w:val="1"/>
          <w:iCs w:val="1"/>
          <w:color w:val="auto"/>
        </w:rPr>
        <w:t>Under the Services Agreement with Sarissa Capital, we may rely on Sarissa Capital to assist in our strategic investing activity.</w:t>
      </w:r>
    </w:p>
    <w:p>
      <w:pPr>
        <w:spacing w:after="0" w:line="248"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On December 11, 2020, we entered into the Services Agreement pursuant to which Sarissa Capital provides substantial assistance to us in connection with our control investing activity. Pursuant to the terms of the Services Agreement, and subject to the limitations set forth therein, Sarissa Capital will, among other things: (i) assist Innoviva in the development of an overall acquisition and investment process and strategy; (ii) advise Innoviva on market trends, market dynamics and merger and acquisition activity; (iii) identify potential transaction targets; (iv) assist in due diligence of transaction targets and the negotiation and execution of transactions; (v) advise on the growth and operational plans, performance and integration of target companies once an investment or acquisition is made; and (vi) assist in the identification of director and officer candidates for target companies. The services are provided by Sarissa Capital personnel and we have limited or no ability to control the manner upon which the services are provided. In the event that Sarissa Capital fails to adequately perform the required services, our investment activity operations and financial performance may be negatively impacted.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80"/>
          </w:cols>
          <w:pgMar w:left="440" w:top="301"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Risk Related to our Investment in the Partnership</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investment into the Partnership could subject us to various risks and uncertainties, any of which could impact our investment results and could materially and adversely affect our business, financial condition and results of operations.</w:t>
      </w:r>
    </w:p>
    <w:p>
      <w:pPr>
        <w:spacing w:after="0" w:line="62"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Historically, we have invested our cash reserves in short-term investments and marketable securities, primarily corporate notes, government securities, government agencies, and government commercial papers. On December 11, 2020, we entered into the Partnership Agreement and invested $300 million of our cash reserves to be managed by Sarissa Capital as the investment manager to the Partnership.</w:t>
      </w:r>
    </w:p>
    <w:p>
      <w:pPr>
        <w:spacing w:after="0" w:line="165" w:lineRule="exact"/>
        <w:rPr>
          <w:sz w:val="20"/>
          <w:szCs w:val="20"/>
          <w:color w:val="auto"/>
        </w:rPr>
      </w:pPr>
    </w:p>
    <w:p>
      <w:pPr>
        <w:ind w:right="180" w:firstLine="991"/>
        <w:spacing w:after="0" w:line="255" w:lineRule="auto"/>
        <w:rPr>
          <w:sz w:val="20"/>
          <w:szCs w:val="20"/>
          <w:color w:val="auto"/>
        </w:rPr>
      </w:pPr>
      <w:r>
        <w:rPr>
          <w:rFonts w:ascii="Arial" w:cs="Arial" w:eastAsia="Arial" w:hAnsi="Arial"/>
          <w:sz w:val="18"/>
          <w:szCs w:val="18"/>
          <w:color w:val="auto"/>
        </w:rPr>
        <w:t>While we expect that our revenues will continue to be primarily derived from our royalty management business, as a result of this investment, we may derive a material portion of our income from assets managed by Sarissa Capital. The investment strategy of Sarissa Capital will focus on a concentrated portfolio of “long” positions in publicly or privately traded securities (debt or equity) and derivatives of, and other financial instruments related to, each of the foregoing, specifically in the areas of healthcare, pharmaceuticals and biotechnology. The risks associated with this investment strategy may be substantially greater than the risks associated with traditional fixed-income investment strategies or other low-yield strategies.</w:t>
      </w:r>
    </w:p>
    <w:p>
      <w:pPr>
        <w:spacing w:after="0" w:line="192"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We have limited rights to remove the general partner of the Partnership and do not have any right to participate in the management of the Partnership or the investment activity of Sarissa Capital. We are solely dependent on Sarissa Capital’s management of our investment in the Partnership. We cannot provide assurance that Sarissa Capital will be successful in meeting our investment objectives. Unexpected market volatility or losses in the Partnership’s securities portfolio could significantly and negatively affect our investment in the Partnership and therefore our investment results, financial condition 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Partnership Agreement limits our ability to withdraw our invested funds from the Partnership.</w:t>
      </w:r>
    </w:p>
    <w:p>
      <w:pPr>
        <w:spacing w:after="0" w:line="117"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Under the terms of the Partnership Agreement, subject to limited exceptions, we are not entitled to withdraw our funds invested in the Partnership until expiration of a “lock-up” period. Following the expiration of the lock-up period, we are able to make annual withdrawals subject to 25% gating provision such that we would receive our entire account in the Partnership over four fiscal quarters. Therefore, we are limited in our ability to obtain liquidity with respect to those funds and are further subjects to market fluctuations with respect thereto, particularly given the expected concentrated nature of the Partnership’s portfolio.</w:t>
      </w:r>
    </w:p>
    <w:p>
      <w:pPr>
        <w:spacing w:after="0" w:line="29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Sarissa Capital intends to continue to manage other third party capital and is not required to dedicate any minimum amount of time to the Partnership.</w:t>
      </w:r>
    </w:p>
    <w:p>
      <w:pPr>
        <w:spacing w:after="0" w:line="62"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In addition to managing the Partnership, Sarissa Capital, its principals and their affiliates may engage in investment and trading activities for their own accounts and/or for the accounts of third parties and is not required to afford the Partnership exclusivity or priority with respect to investment or trading activities. Affiliates of Sarissa Capital manage and expect to continue to manage other client accounts which have objectives similar to the Partnership. The Partnership Agreement does not include any specific obligations or requirements concerning allocation of time, effort or investment opportunities to us or impose any restriction on the nature or timing of investments for accounts that Sarissa Capital or its affiliates may manage.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60"/>
          </w:cols>
          <w:pgMar w:left="440" w:top="301" w:right="499" w:bottom="1440" w:gutter="0" w:footer="0" w:header="0"/>
        </w:sectPr>
      </w:pPr>
    </w:p>
    <w:bookmarkStart w:id="5" w:name="page6"/>
    <w:bookmarkEnd w:id="5"/>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8">
        <w:r>
          <w:rPr>
            <w:rFonts w:ascii="Arial" w:cs="Arial" w:eastAsia="Arial" w:hAnsi="Arial"/>
            <w:sz w:val="16"/>
            <w:szCs w:val="16"/>
            <w:u w:val="single" w:color="auto"/>
            <w:color w:val="0000EE"/>
          </w:rPr>
          <w:t>Strategic Advisory Agreement, dated as of December 11, 2020, by and between Sarissa Capital Management LP and Innoviva, Inc.</w:t>
        </w:r>
      </w:hyperlink>
    </w:p>
    <w:p>
      <w:pPr>
        <w:spacing w:after="0" w:line="117" w:lineRule="exact"/>
        <w:rPr>
          <w:sz w:val="20"/>
          <w:szCs w:val="20"/>
          <w:color w:val="auto"/>
        </w:rPr>
      </w:pPr>
    </w:p>
    <w:p>
      <w:pPr>
        <w:ind w:left="66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19">
        <w:r>
          <w:rPr>
            <w:rFonts w:ascii="Arial" w:cs="Arial" w:eastAsia="Arial" w:hAnsi="Arial"/>
            <w:sz w:val="18"/>
            <w:szCs w:val="18"/>
            <w:u w:val="single" w:color="auto"/>
            <w:color w:val="0000EE"/>
          </w:rPr>
          <w:t>Amended and Restated Limited Partnership Agreement of ISP Fund LP, dated as of December 11, 2020, by and among ISP Fund LP, Sarissa</w:t>
        </w:r>
      </w:hyperlink>
      <w:r>
        <w:rPr>
          <w:rFonts w:ascii="Arial" w:cs="Arial" w:eastAsia="Arial" w:hAnsi="Arial"/>
          <w:sz w:val="18"/>
          <w:szCs w:val="18"/>
          <w:u w:val="single" w:color="auto"/>
          <w:color w:val="0000EE"/>
        </w:rPr>
        <w:t xml:space="preserve"> </w:t>
      </w:r>
      <w:hyperlink w:anchor="page19">
        <w:r>
          <w:rPr>
            <w:rFonts w:ascii="Arial" w:cs="Arial" w:eastAsia="Arial" w:hAnsi="Arial"/>
            <w:sz w:val="18"/>
            <w:szCs w:val="18"/>
            <w:u w:val="single" w:color="auto"/>
            <w:color w:val="0000EE"/>
          </w:rPr>
          <w:t>Capital Fund GP LP, Innoviva Strategic Partners LLC and the other parties named therein.</w:t>
        </w:r>
      </w:hyperlink>
    </w:p>
    <w:p>
      <w:pPr>
        <w:spacing w:after="0" w:line="62" w:lineRule="exact"/>
        <w:rPr>
          <w:sz w:val="20"/>
          <w:szCs w:val="20"/>
          <w:color w:val="auto"/>
        </w:rPr>
      </w:pPr>
    </w:p>
    <w:p>
      <w:pPr>
        <w:ind w:left="660" w:hanging="61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File (the cover page tags are embedded within the Inline XBRL document).</w:t>
      </w:r>
    </w:p>
    <w:p>
      <w:pPr>
        <w:spacing w:after="0" w:line="157" w:lineRule="exact"/>
        <w:rPr>
          <w:rFonts w:ascii="Arial" w:cs="Arial" w:eastAsia="Arial" w:hAnsi="Arial"/>
          <w:sz w:val="18"/>
          <w:szCs w:val="18"/>
          <w:color w:val="auto"/>
        </w:rPr>
      </w:pPr>
    </w:p>
    <w:p>
      <w:pPr>
        <w:ind w:left="5460" w:hanging="106"/>
        <w:spacing w:after="0"/>
        <w:tabs>
          <w:tab w:leader="none" w:pos="5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780"/>
          </w:cols>
          <w:pgMar w:left="440" w:top="297" w:right="679" w:bottom="1440" w:gutter="0" w:footer="0" w:header="0"/>
        </w:sectPr>
      </w:pPr>
    </w:p>
    <w:bookmarkStart w:id="6" w:name="page7"/>
    <w:bookmarkEnd w:id="6"/>
    <w:p>
      <w:pPr>
        <w:jc w:val="center"/>
        <w:ind w:righ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5" w:lineRule="exact"/>
        <w:rPr>
          <w:sz w:val="20"/>
          <w:szCs w:val="20"/>
          <w:color w:val="auto"/>
        </w:rPr>
      </w:pPr>
    </w:p>
    <w:p>
      <w:pPr>
        <w:ind w:firstLine="7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280"/>
        <w:spacing w:after="0"/>
        <w:tabs>
          <w:tab w:leader="none" w:pos="5160" w:val="left"/>
        </w:tabs>
        <w:rPr>
          <w:sz w:val="20"/>
          <w:szCs w:val="20"/>
          <w:color w:val="auto"/>
        </w:rPr>
      </w:pPr>
      <w:r>
        <w:rPr>
          <w:rFonts w:ascii="Arial" w:cs="Arial" w:eastAsia="Arial" w:hAnsi="Arial"/>
          <w:sz w:val="18"/>
          <w:szCs w:val="18"/>
          <w:color w:val="auto"/>
        </w:rPr>
        <w:t>Date: December 14, 2020</w:t>
      </w:r>
      <w:r>
        <w:rPr>
          <w:sz w:val="20"/>
          <w:szCs w:val="20"/>
          <w:color w:val="auto"/>
        </w:rPr>
        <w:tab/>
      </w:r>
      <w:r>
        <w:rPr>
          <w:rFonts w:ascii="Arial" w:cs="Arial" w:eastAsia="Arial" w:hAnsi="Arial"/>
          <w:sz w:val="18"/>
          <w:szCs w:val="18"/>
          <w:b w:val="1"/>
          <w:bCs w:val="1"/>
          <w:color w:val="auto"/>
        </w:rPr>
        <w:t>INNOVIVA, INC.</w:t>
      </w:r>
    </w:p>
    <w:p>
      <w:pPr>
        <w:spacing w:after="0" w:line="225" w:lineRule="exact"/>
        <w:rPr>
          <w:sz w:val="20"/>
          <w:szCs w:val="20"/>
          <w:color w:val="auto"/>
        </w:rPr>
      </w:pPr>
    </w:p>
    <w:p>
      <w:pPr>
        <w:ind w:left="5180"/>
        <w:spacing w:after="0"/>
        <w:tabs>
          <w:tab w:leader="none" w:pos="560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17145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Pavel Raifeld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0520"/>
          </w:cols>
          <w:pgMar w:left="880" w:top="301" w:right="4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Copy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STRATEGIC ADVISORY AGREEMENT</w:t>
      </w:r>
    </w:p>
    <w:p>
      <w:pPr>
        <w:spacing w:after="0" w:line="229" w:lineRule="exact"/>
        <w:rPr>
          <w:sz w:val="20"/>
          <w:szCs w:val="20"/>
          <w:color w:val="auto"/>
        </w:rPr>
      </w:pPr>
    </w:p>
    <w:p>
      <w:pPr>
        <w:ind w:right="500" w:firstLine="440"/>
        <w:spacing w:after="0" w:line="308" w:lineRule="auto"/>
        <w:rPr>
          <w:sz w:val="20"/>
          <w:szCs w:val="20"/>
          <w:color w:val="auto"/>
        </w:rPr>
      </w:pPr>
      <w:r>
        <w:rPr>
          <w:rFonts w:ascii="Arial" w:cs="Arial" w:eastAsia="Arial" w:hAnsi="Arial"/>
          <w:sz w:val="17"/>
          <w:szCs w:val="17"/>
          <w:color w:val="auto"/>
        </w:rPr>
        <w:t>This STRATEGIC ADVISORY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December 11, 2020 by and between Sarissa Capital Management LP, a Delaware limited partnership (“</w:t>
      </w:r>
      <w:r>
        <w:rPr>
          <w:rFonts w:ascii="Arial" w:cs="Arial" w:eastAsia="Arial" w:hAnsi="Arial"/>
          <w:sz w:val="17"/>
          <w:szCs w:val="17"/>
          <w:u w:val="single" w:color="auto"/>
          <w:color w:val="auto"/>
        </w:rPr>
        <w:t>Sarissa</w:t>
      </w:r>
      <w:r>
        <w:rPr>
          <w:rFonts w:ascii="Arial" w:cs="Arial" w:eastAsia="Arial" w:hAnsi="Arial"/>
          <w:sz w:val="17"/>
          <w:szCs w:val="17"/>
          <w:color w:val="auto"/>
        </w:rPr>
        <w:t>”), and Innoviva, Inc., a Delaware corporation (the “</w:t>
      </w:r>
      <w:r>
        <w:rPr>
          <w:rFonts w:ascii="Arial" w:cs="Arial" w:eastAsia="Arial" w:hAnsi="Arial"/>
          <w:sz w:val="17"/>
          <w:szCs w:val="17"/>
          <w:u w:val="single" w:color="auto"/>
          <w:color w:val="auto"/>
        </w:rPr>
        <w:t>Innoviva</w:t>
      </w:r>
      <w:r>
        <w:rPr>
          <w:rFonts w:ascii="Arial" w:cs="Arial" w:eastAsia="Arial" w:hAnsi="Arial"/>
          <w:sz w:val="17"/>
          <w:szCs w:val="17"/>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Sarissa and its affiliates (such term, as used in this Agreement, shall have the meaning set forth in Rule 12b-2 promulgated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have extensive knowledge and insight regarding the healthcare pharmaceutical and biotechnology sectors (the “</w:t>
      </w:r>
      <w:r>
        <w:rPr>
          <w:rFonts w:ascii="Arial" w:cs="Arial" w:eastAsia="Arial" w:hAnsi="Arial"/>
          <w:sz w:val="18"/>
          <w:szCs w:val="18"/>
          <w:u w:val="single" w:color="auto"/>
          <w:color w:val="auto"/>
        </w:rPr>
        <w:t>Specified Industries</w:t>
      </w:r>
      <w:r>
        <w:rPr>
          <w:rFonts w:ascii="Arial" w:cs="Arial" w:eastAsia="Arial" w:hAnsi="Arial"/>
          <w:sz w:val="18"/>
          <w:szCs w:val="18"/>
          <w:color w:val="auto"/>
        </w:rPr>
        <w:t>”);</w:t>
      </w:r>
    </w:p>
    <w:p>
      <w:pPr>
        <w:spacing w:after="0" w:line="176" w:lineRule="exact"/>
        <w:rPr>
          <w:sz w:val="20"/>
          <w:szCs w:val="20"/>
          <w:color w:val="auto"/>
        </w:rPr>
      </w:pPr>
    </w:p>
    <w:p>
      <w:pPr>
        <w:ind w:right="140" w:firstLine="440"/>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Innoviva is seeking to diversify its royalty management business and the substantial revenue stream derived therefrom and to</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to and, potentially, increase, its consideration and pursuit of the acquisition of substantial interests, through mergers, acquisitions and investments, of companies or assets in the Specified Industries, and Sarissa is willing to provide strategic advice and services in connection therewith, all on the terms and subject to the conditions set forth in this Agreement and consistent with activities authorized under the federal securities laws to be performed by persons who are not registered as broker-dealers with the Securities and Exchange Commission (the “</w:t>
      </w:r>
      <w:r>
        <w:rPr>
          <w:rFonts w:ascii="Arial" w:cs="Arial" w:eastAsia="Arial" w:hAnsi="Arial"/>
          <w:sz w:val="16"/>
          <w:szCs w:val="16"/>
          <w:u w:val="single" w:color="auto"/>
          <w:color w:val="auto"/>
        </w:rPr>
        <w:t>Permitted Scope</w:t>
      </w:r>
      <w:r>
        <w:rPr>
          <w:rFonts w:ascii="Arial" w:cs="Arial" w:eastAsia="Arial" w:hAnsi="Arial"/>
          <w:sz w:val="16"/>
          <w:szCs w:val="16"/>
          <w:color w:val="auto"/>
        </w:rPr>
        <w:t>”); and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contemporaneously with the execution and delivery of this Agreement, Innoviva Strategic Partners LLC, ISP Fund LP, a Delaware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limited partnership (the “</w:t>
      </w:r>
      <w:r>
        <w:rPr>
          <w:rFonts w:ascii="Arial" w:cs="Arial" w:eastAsia="Arial" w:hAnsi="Arial"/>
          <w:sz w:val="16"/>
          <w:szCs w:val="16"/>
          <w:u w:val="single" w:color="auto"/>
          <w:color w:val="auto"/>
        </w:rPr>
        <w:t>Partnership</w:t>
      </w:r>
      <w:r>
        <w:rPr>
          <w:rFonts w:ascii="Arial" w:cs="Arial" w:eastAsia="Arial" w:hAnsi="Arial"/>
          <w:sz w:val="16"/>
          <w:szCs w:val="16"/>
          <w:color w:val="auto"/>
        </w:rPr>
        <w:t>”), Sarissa and certain other parties thereto are entering into a Limited Partnership Agreement (the “</w:t>
      </w:r>
      <w:r>
        <w:rPr>
          <w:rFonts w:ascii="Arial" w:cs="Arial" w:eastAsia="Arial" w:hAnsi="Arial"/>
          <w:sz w:val="16"/>
          <w:szCs w:val="16"/>
          <w:u w:val="single" w:color="auto"/>
          <w:color w:val="auto"/>
        </w:rPr>
        <w:t>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Innoviva will, through Innoviva Strategic Partners LLC, contribute $300 million in cash to the Partnership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Subscription Amount</w:t>
      </w:r>
      <w:r>
        <w:rPr>
          <w:rFonts w:ascii="Arial" w:cs="Arial" w:eastAsia="Arial" w:hAnsi="Arial"/>
          <w:sz w:val="16"/>
          <w:szCs w:val="16"/>
          <w:color w:val="auto"/>
        </w:rPr>
        <w:t>”), and the parties hereto acknowledge and agree that the provision of the Services (as defined below) by Sarissa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hereof is a material inducement to the entry by Innoviva Strategic Partners LLC into the Partnership Agreement.</w:t>
      </w:r>
    </w:p>
    <w:p>
      <w:pPr>
        <w:spacing w:after="0" w:line="207"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the mutual covenants and agreements hereinafter set forth,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parties hereto agree as follows:</w:t>
      </w:r>
    </w:p>
    <w:p>
      <w:pPr>
        <w:spacing w:after="0" w:line="58" w:lineRule="exact"/>
        <w:rPr>
          <w:sz w:val="20"/>
          <w:szCs w:val="20"/>
          <w:color w:val="auto"/>
        </w:rPr>
      </w:pPr>
    </w:p>
    <w:p>
      <w:pPr>
        <w:ind w:left="1300" w:hanging="313"/>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436"/>
        <w:spacing w:after="0" w:line="301" w:lineRule="auto"/>
        <w:tabs>
          <w:tab w:leader="none" w:pos="1000" w:val="left"/>
        </w:tabs>
        <w:numPr>
          <w:ilvl w:val="1"/>
          <w:numId w:val="4"/>
        </w:numPr>
        <w:rPr>
          <w:rFonts w:ascii="Arial" w:cs="Arial" w:eastAsia="Arial" w:hAnsi="Arial"/>
          <w:sz w:val="16"/>
          <w:szCs w:val="16"/>
          <w:color w:val="auto"/>
        </w:rPr>
      </w:pPr>
      <w:r>
        <w:rPr>
          <w:rFonts w:ascii="Arial" w:cs="Arial" w:eastAsia="Arial" w:hAnsi="Arial"/>
          <w:sz w:val="16"/>
          <w:szCs w:val="16"/>
          <w:color w:val="auto"/>
        </w:rPr>
        <w:t>Subject to the Permitted Scope and other terms set forth in this Agreement, Sarissa hereby agrees to provide, or cause an affiliate thereof to provide, to Innoviva and its subsidiaries, the following services and advice (collectively, the “</w:t>
      </w:r>
      <w:r>
        <w:rPr>
          <w:rFonts w:ascii="Arial" w:cs="Arial" w:eastAsia="Arial" w:hAnsi="Arial"/>
          <w:sz w:val="16"/>
          <w:szCs w:val="16"/>
          <w:u w:val="single" w:color="auto"/>
          <w:color w:val="auto"/>
        </w:rPr>
        <w:t>Services</w:t>
      </w:r>
      <w:r>
        <w:rPr>
          <w:rFonts w:ascii="Arial" w:cs="Arial" w:eastAsia="Arial" w:hAnsi="Arial"/>
          <w:sz w:val="16"/>
          <w:szCs w:val="16"/>
          <w:color w:val="auto"/>
        </w:rPr>
        <w:t>”), except that the Services specified in clauses (ii) (C), (iii) and (vi) immediately below shall only be provided with respect to Privately-Held Companies (as defined below) and in compliance with the terms of the M&amp;A Brokers’ Letter, Securities and Exchange Commision (“</w:t>
      </w:r>
      <w:r>
        <w:rPr>
          <w:rFonts w:ascii="Arial" w:cs="Arial" w:eastAsia="Arial" w:hAnsi="Arial"/>
          <w:sz w:val="16"/>
          <w:szCs w:val="16"/>
          <w:u w:val="single" w:color="auto"/>
          <w:color w:val="auto"/>
        </w:rPr>
        <w:t>SEC</w:t>
      </w:r>
      <w:r>
        <w:rPr>
          <w:rFonts w:ascii="Arial" w:cs="Arial" w:eastAsia="Arial" w:hAnsi="Arial"/>
          <w:sz w:val="16"/>
          <w:szCs w:val="16"/>
          <w:color w:val="auto"/>
        </w:rPr>
        <w:t>”) No Action Letter (Jan. 31, 2014, rev. Feb. 4, 2014):</w:t>
      </w:r>
    </w:p>
    <w:p>
      <w:pPr>
        <w:spacing w:after="0" w:line="62" w:lineRule="exact"/>
        <w:rPr>
          <w:rFonts w:ascii="Arial" w:cs="Arial" w:eastAsia="Arial" w:hAnsi="Arial"/>
          <w:sz w:val="16"/>
          <w:szCs w:val="16"/>
          <w:color w:val="auto"/>
        </w:rPr>
      </w:pPr>
    </w:p>
    <w:p>
      <w:pPr>
        <w:ind w:left="960" w:right="100" w:hanging="532"/>
        <w:spacing w:after="0" w:line="279" w:lineRule="auto"/>
        <w:tabs>
          <w:tab w:leader="none" w:pos="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advise Innoviva management in development of an overall acquisition and control investment process and strategy, including a standardized approach with respect to the consideration, due diligence and valuation of target companies in potential mergers, acquisitions or investments in the Specified Industries where Innoviva would take a substantial stake in and actively operate such target companies following the completion of the acquisition thereof or investment therein (“</w:t>
      </w:r>
      <w:r>
        <w:rPr>
          <w:rFonts w:ascii="Arial" w:cs="Arial" w:eastAsia="Arial" w:hAnsi="Arial"/>
          <w:sz w:val="17"/>
          <w:szCs w:val="17"/>
          <w:u w:val="single" w:color="auto"/>
          <w:color w:val="auto"/>
        </w:rPr>
        <w:t>Potential Transactions</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sectPr>
      </w:pPr>
    </w:p>
    <w:bookmarkStart w:id="8" w:name="page9"/>
    <w:bookmarkEnd w:id="8"/>
    <w:p>
      <w:pPr>
        <w:ind w:left="540" w:right="140" w:hanging="532"/>
        <w:spacing w:after="0" w:line="287"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request by Innoviva, provide strategic advice to the management of Innoviva on market trends, market and industry dynamics, and merger and acquisition activity, in each case in the Specified Industries, including (A) identifying potential verticals or sub-sectors within the Specified Industries that may present acquisition or control investment opportunities for Innoviva and the reasons therefor,</w:t>
      </w:r>
    </w:p>
    <w:p>
      <w:pPr>
        <w:spacing w:after="0" w:line="2" w:lineRule="exact"/>
        <w:rPr>
          <w:rFonts w:ascii="Arial" w:cs="Arial" w:eastAsia="Arial" w:hAnsi="Arial"/>
          <w:sz w:val="16"/>
          <w:szCs w:val="16"/>
          <w:color w:val="auto"/>
        </w:rPr>
      </w:pPr>
    </w:p>
    <w:p>
      <w:pPr>
        <w:ind w:left="540"/>
        <w:spacing w:after="0" w:line="255" w:lineRule="auto"/>
        <w:rPr>
          <w:rFonts w:ascii="Arial" w:cs="Arial" w:eastAsia="Arial" w:hAnsi="Arial"/>
          <w:sz w:val="16"/>
          <w:szCs w:val="16"/>
          <w:color w:val="auto"/>
        </w:rPr>
      </w:pPr>
      <w:r>
        <w:rPr>
          <w:rFonts w:ascii="Arial" w:cs="Arial" w:eastAsia="Arial" w:hAnsi="Arial"/>
          <w:sz w:val="18"/>
          <w:szCs w:val="18"/>
          <w:color w:val="auto"/>
        </w:rPr>
        <w:t>(B) identifying groups of (but not individual) potential target companies within such verticals and sub-sectors and (C) seeking to introduce Innoviva representatives to representatives of companies within the Specified Industries and/or their equityholders or owners, in the case of this clause (C) as Sarissa deems advisable or appropriate;</w:t>
      </w:r>
    </w:p>
    <w:p>
      <w:pPr>
        <w:spacing w:after="0" w:line="95" w:lineRule="exact"/>
        <w:rPr>
          <w:rFonts w:ascii="Arial" w:cs="Arial" w:eastAsia="Arial" w:hAnsi="Arial"/>
          <w:sz w:val="16"/>
          <w:szCs w:val="16"/>
          <w:color w:val="auto"/>
        </w:rPr>
      </w:pPr>
    </w:p>
    <w:p>
      <w:pPr>
        <w:jc w:val="both"/>
        <w:ind w:left="540" w:right="140" w:hanging="532"/>
        <w:spacing w:after="0" w:line="26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identifying any potential specific target companies for Potential Transactions and (B) upon request by Innoviva, seeking to introduce Innoviva representatives to representatives of such target companies and/or their equityholders or owners, in the case of this clause (B) as Sarissa deems advisable or appropriate;</w:t>
      </w:r>
    </w:p>
    <w:p>
      <w:pPr>
        <w:spacing w:after="0" w:line="89" w:lineRule="exact"/>
        <w:rPr>
          <w:rFonts w:ascii="Arial" w:cs="Arial" w:eastAsia="Arial" w:hAnsi="Arial"/>
          <w:sz w:val="18"/>
          <w:szCs w:val="18"/>
          <w:color w:val="auto"/>
        </w:rPr>
      </w:pPr>
    </w:p>
    <w:p>
      <w:pPr>
        <w:ind w:left="540" w:right="80" w:hanging="532"/>
        <w:spacing w:after="0" w:line="26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request by Innoviva, assisting management of Innoviva in undertaking due diligence of target companies in Potential Transactions, including financial and transactional analyses of any target company subject to a Potential Transaction (including, as applicable, preparing or reviewing financial projections and the material assumptions with respect thereto);</w:t>
      </w:r>
    </w:p>
    <w:p>
      <w:pPr>
        <w:spacing w:after="0" w:line="89" w:lineRule="exact"/>
        <w:rPr>
          <w:rFonts w:ascii="Arial" w:cs="Arial" w:eastAsia="Arial" w:hAnsi="Arial"/>
          <w:sz w:val="18"/>
          <w:szCs w:val="18"/>
          <w:color w:val="auto"/>
        </w:rPr>
      </w:pPr>
    </w:p>
    <w:p>
      <w:pPr>
        <w:ind w:left="540" w:right="560" w:hanging="532"/>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request by Innoviva and in coordination with Innoviva management, coordinating and liaising with other advisors engaged by Innoviva in connection with any Potential Transaction;</w:t>
      </w:r>
    </w:p>
    <w:p>
      <w:pPr>
        <w:spacing w:after="0" w:line="75" w:lineRule="exact"/>
        <w:rPr>
          <w:rFonts w:ascii="Arial" w:cs="Arial" w:eastAsia="Arial" w:hAnsi="Arial"/>
          <w:sz w:val="18"/>
          <w:szCs w:val="18"/>
          <w:color w:val="auto"/>
        </w:rPr>
      </w:pPr>
    </w:p>
    <w:p>
      <w:pPr>
        <w:ind w:left="540" w:right="260" w:hanging="532"/>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request by Innoviva, providing advice regarding the terms and conditions of, negotiations with respect to, and the capital structure approach and financing strategy for, Potential Transactions;</w:t>
      </w:r>
    </w:p>
    <w:p>
      <w:pPr>
        <w:spacing w:after="0" w:line="75" w:lineRule="exact"/>
        <w:rPr>
          <w:rFonts w:ascii="Arial" w:cs="Arial" w:eastAsia="Arial" w:hAnsi="Arial"/>
          <w:sz w:val="18"/>
          <w:szCs w:val="18"/>
          <w:color w:val="auto"/>
        </w:rPr>
      </w:pPr>
    </w:p>
    <w:p>
      <w:pPr>
        <w:ind w:left="540" w:right="160" w:hanging="532"/>
        <w:spacing w:after="0" w:line="296"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respect to any target company that Innoviva acquires or makes a substantial investment in, upon request by Innoviva, (A) provide advice regarding the optimization and growth of the ongoing business and operations thereof and the integration of such target company into Innoviva, and (B) review of the post-acquisition or investment performance of such target company and the integration thereof into Innoviva and how such performance compares to the anticipated performance thereof relative to the expectations therefor included in the due diligence performed in connection with the acquisition of or investment in such target company; and</w:t>
      </w:r>
    </w:p>
    <w:p>
      <w:pPr>
        <w:spacing w:after="0" w:line="66" w:lineRule="exact"/>
        <w:rPr>
          <w:rFonts w:ascii="Arial" w:cs="Arial" w:eastAsia="Arial" w:hAnsi="Arial"/>
          <w:sz w:val="16"/>
          <w:szCs w:val="16"/>
          <w:color w:val="auto"/>
        </w:rPr>
      </w:pPr>
    </w:p>
    <w:p>
      <w:pPr>
        <w:jc w:val="both"/>
        <w:ind w:left="540" w:right="400" w:hanging="532"/>
        <w:spacing w:after="0" w:line="26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request by Innoviva, seeking to source and provide recruiting assistance and due diligence on individuals to serve as directors or officers of target companies that are the subject of Potential Transactions, and the evaluation of the performance of such directors and officers following completion of any such transaction.</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60" w:top="274" w:right="459" w:bottom="1440" w:gutter="0" w:footer="0" w:header="0"/>
        </w:sectPr>
      </w:pPr>
    </w:p>
    <w:bookmarkStart w:id="9" w:name="page10"/>
    <w:bookmarkEnd w:id="9"/>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hereof, a “</w:t>
      </w:r>
      <w:r>
        <w:rPr>
          <w:rFonts w:ascii="Arial" w:cs="Arial" w:eastAsia="Arial" w:hAnsi="Arial"/>
          <w:sz w:val="16"/>
          <w:szCs w:val="16"/>
          <w:u w:val="single" w:color="auto"/>
          <w:color w:val="auto"/>
        </w:rPr>
        <w:t>Privately-Held Company</w:t>
      </w:r>
      <w:r>
        <w:rPr>
          <w:rFonts w:ascii="Arial" w:cs="Arial" w:eastAsia="Arial" w:hAnsi="Arial"/>
          <w:sz w:val="16"/>
          <w:szCs w:val="16"/>
          <w:color w:val="auto"/>
        </w:rPr>
        <w:t>” means a company that (x) does not have any class of securities registered, or required to be registered, with the SEC under Section 12 of the Exchange Act, or with respect to which the company files, or is required to file, periodic information, documents, or reports under Section 15(d) of the Exchange Act, and (y) is an operating company that is a going concern and not a “shell” company.</w:t>
      </w:r>
    </w:p>
    <w:p>
      <w:pPr>
        <w:spacing w:after="0" w:line="149" w:lineRule="exact"/>
        <w:rPr>
          <w:sz w:val="20"/>
          <w:szCs w:val="20"/>
          <w:color w:val="auto"/>
        </w:rPr>
      </w:pPr>
    </w:p>
    <w:p>
      <w:pPr>
        <w:ind w:firstLine="436"/>
        <w:spacing w:after="0" w:line="288" w:lineRule="auto"/>
        <w:tabs>
          <w:tab w:leader="none" w:pos="8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parties hereto acknowledge and agree that, as of the date hereof, two (2) employees or partners of Sarissa or an affiliate thereof are members of the Board of Directors of Innoviva (the “</w:t>
      </w:r>
      <w:r>
        <w:rPr>
          <w:rFonts w:ascii="Arial" w:cs="Arial" w:eastAsia="Arial" w:hAnsi="Arial"/>
          <w:sz w:val="16"/>
          <w:szCs w:val="16"/>
          <w:u w:val="single" w:color="auto"/>
          <w:color w:val="auto"/>
        </w:rPr>
        <w:t>Innoviva Board</w:t>
      </w:r>
      <w:r>
        <w:rPr>
          <w:rFonts w:ascii="Arial" w:cs="Arial" w:eastAsia="Arial" w:hAnsi="Arial"/>
          <w:sz w:val="16"/>
          <w:szCs w:val="16"/>
          <w:color w:val="auto"/>
        </w:rPr>
        <w:t>” and any present or future designee of Sarissa or its affiliates thereto being referred to herein as the “</w:t>
      </w:r>
      <w:r>
        <w:rPr>
          <w:rFonts w:ascii="Arial" w:cs="Arial" w:eastAsia="Arial" w:hAnsi="Arial"/>
          <w:sz w:val="16"/>
          <w:szCs w:val="16"/>
          <w:u w:val="single" w:color="auto"/>
          <w:color w:val="auto"/>
        </w:rPr>
        <w:t>Sarissa Designees</w:t>
      </w:r>
      <w:r>
        <w:rPr>
          <w:rFonts w:ascii="Arial" w:cs="Arial" w:eastAsia="Arial" w:hAnsi="Arial"/>
          <w:sz w:val="16"/>
          <w:szCs w:val="16"/>
          <w:color w:val="auto"/>
        </w:rPr>
        <w:t>”). The terms and conditions set forth in this Agreement are not applicable to any actions taken or not taken by any Sarissa Designees in their capacity as such, who shall continue to carry out their duties as members of the Innoviva Board in accordance with applicable law, their fiduciary duties and the policies and procedures established by Innoviva from time to time that are generally applicable to all members of the Innoviva Board. Without limiting the foregoing, consistent with the past practice of the Sarissa Designees, Innoviva expects them to remain actively involved, in their capacities as members of the Innoviva Board, in the oversight of the business and operations of Innoviva and its subsidiaries, including by participating in the consideration, evaluation, negotiation and execution of Potential Transactions, and the parties hereto acknowledge and agree that any actions taken or not taken by the Sarissa Designees in their capacities as such shall not be imputed to or be deemed to be the responsibility of or supervised by Sarissa or its affiliates and shall not be deemed to be Services performed hereunder.</w:t>
      </w:r>
    </w:p>
    <w:p>
      <w:pPr>
        <w:spacing w:after="0" w:line="168" w:lineRule="exact"/>
        <w:rPr>
          <w:rFonts w:ascii="Arial" w:cs="Arial" w:eastAsia="Arial" w:hAnsi="Arial"/>
          <w:sz w:val="16"/>
          <w:szCs w:val="16"/>
          <w:color w:val="auto"/>
        </w:rPr>
      </w:pPr>
    </w:p>
    <w:p>
      <w:pPr>
        <w:ind w:right="20" w:firstLine="436"/>
        <w:spacing w:after="0" w:line="270"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Notwithstanding anything contained herein to the contrary, in connection with the performance of the Services, (i) Sarissa shall not have the right to legally bind Innoviva or any subsidiary thereof and, without limitation of the foregoing, any determination by Innoviva or any subsidiary thereof to pursue, enter into or consummate any Potential Transaction shall be made solely by Innoviva or such subsidiary in accordance with the governance procedures and protocols developed thereby, (ii) Sarissa will not directly, or indirectly through any of its affiliates, provide financing for any Potential Transaction unless approved by Innoviva, and if Sarissa assists Innoviva in obtaining financing from unaffiliated third parties, it shall comply with all applicable legal requirements, (iii) Sarissa will not have custody, control, or possession of or otherwise handle funds or securities issued or exchanged in connection with any Potential Transaction, (iv) no Potential Transaction involving a Privately-Held Company in respect to which the Services are provided by Sarissa will involve a public offering and (v) Sarissa may facilitate a Potential Transaction with a group of buyers (including Innoviva) provided the group is formed without assistance from Sarissa.</w:t>
      </w:r>
    </w:p>
    <w:p>
      <w:pPr>
        <w:spacing w:after="0" w:line="180" w:lineRule="exact"/>
        <w:rPr>
          <w:rFonts w:ascii="Arial" w:cs="Arial" w:eastAsia="Arial" w:hAnsi="Arial"/>
          <w:sz w:val="17"/>
          <w:szCs w:val="17"/>
          <w:color w:val="auto"/>
        </w:rPr>
      </w:pPr>
    </w:p>
    <w:p>
      <w:pPr>
        <w:ind w:right="80" w:firstLine="436"/>
        <w:spacing w:after="0" w:line="272" w:lineRule="auto"/>
        <w:tabs>
          <w:tab w:leader="none" w:pos="830" w:val="left"/>
        </w:tabs>
        <w:numPr>
          <w:ilvl w:val="0"/>
          <w:numId w:val="7"/>
        </w:numPr>
        <w:rPr>
          <w:rFonts w:ascii="Arial" w:cs="Arial" w:eastAsia="Arial" w:hAnsi="Arial"/>
          <w:sz w:val="17"/>
          <w:szCs w:val="17"/>
          <w:color w:val="auto"/>
        </w:rPr>
      </w:pPr>
      <w:r>
        <w:rPr>
          <w:rFonts w:ascii="Arial" w:cs="Arial" w:eastAsia="Arial" w:hAnsi="Arial"/>
          <w:sz w:val="17"/>
          <w:szCs w:val="17"/>
          <w:color w:val="auto"/>
        </w:rPr>
        <w:t>Sarissa agrees that to the extent that Sarissa or any affiliate thereof has an Economic Interest in any target company subject to any Potential Transaction, Sarissa shall inform Innoviva of such Economic Interest and shall provide any additional information with respect thereto as Innoviva may reasonably request. For purposes of this Agreement, “</w:t>
      </w:r>
      <w:r>
        <w:rPr>
          <w:rFonts w:ascii="Arial" w:cs="Arial" w:eastAsia="Arial" w:hAnsi="Arial"/>
          <w:sz w:val="17"/>
          <w:szCs w:val="17"/>
          <w:u w:val="single" w:color="auto"/>
          <w:color w:val="auto"/>
        </w:rPr>
        <w:t>Economic Interest</w:t>
      </w:r>
      <w:r>
        <w:rPr>
          <w:rFonts w:ascii="Arial" w:cs="Arial" w:eastAsia="Arial" w:hAnsi="Arial"/>
          <w:sz w:val="17"/>
          <w:szCs w:val="17"/>
          <w:color w:val="auto"/>
        </w:rPr>
        <w:t>” means any (a) direct or indirect beneficial ownership (as such term is defined in Rule 13d-3 of the Securities Exchange Act of 1934, as amended (the “Exchange Act”), (b) direct or indirect pecuniary interest (as such term is defined in Rule 16a-1 of the Exchange Act) or (c) other direct or indirect economic interest, in each case of clauses (a) through (c), in such target company (or any affiliate thereof) or any securities or loans of such target company (or any affiliate thereof), including any exposure through hedging, swap, futures contract, forward transaction, swap, option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0" w:name="page11"/>
    <w:bookmarkEnd w:id="10"/>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similar transaction; provided, however, Sarissa shall not be deemed to have an Economic Interest in an entity that is a party to or otherwise involved in a Potential Transaction based solely on the fact that Sarissa beneficially owns an interest in or has exposure to a broad-based index of securities in which securities of such entity are a component.</w:t>
      </w:r>
    </w:p>
    <w:p>
      <w:pPr>
        <w:spacing w:after="0" w:line="184" w:lineRule="exact"/>
        <w:rPr>
          <w:sz w:val="20"/>
          <w:szCs w:val="20"/>
          <w:color w:val="auto"/>
        </w:rPr>
      </w:pPr>
    </w:p>
    <w:p>
      <w:pPr>
        <w:ind w:right="140" w:firstLine="436"/>
        <w:spacing w:after="0" w:line="263"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connection with the Services, Sarissa agrees to make its investment professionals reasonably available to Innoviva (including for telephonic, electronic or in person meetings, as reasonably requested by Innoviva) at mutually convenient times. Innoviva’s primary point of contact at Sarissa will be the President of Sarissa.</w:t>
      </w:r>
    </w:p>
    <w:p>
      <w:pPr>
        <w:spacing w:after="0" w:line="291" w:lineRule="exact"/>
        <w:rPr>
          <w:rFonts w:ascii="Arial" w:cs="Arial" w:eastAsia="Arial" w:hAnsi="Arial"/>
          <w:sz w:val="18"/>
          <w:szCs w:val="18"/>
          <w:color w:val="auto"/>
        </w:rPr>
      </w:pPr>
    </w:p>
    <w:p>
      <w:pPr>
        <w:ind w:left="800" w:hanging="36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Annual Workplan and Quarterly Updates</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291" w:lineRule="auto"/>
        <w:tabs>
          <w:tab w:leader="none" w:pos="79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Sarissa shall advise Innoviva on development of a workplan (the “</w:t>
      </w:r>
      <w:r>
        <w:rPr>
          <w:rFonts w:ascii="Arial" w:cs="Arial" w:eastAsia="Arial" w:hAnsi="Arial"/>
          <w:sz w:val="16"/>
          <w:szCs w:val="16"/>
          <w:u w:val="single" w:color="auto"/>
          <w:color w:val="auto"/>
        </w:rPr>
        <w:t>Annual Workplan</w:t>
      </w:r>
      <w:r>
        <w:rPr>
          <w:rFonts w:ascii="Arial" w:cs="Arial" w:eastAsia="Arial" w:hAnsi="Arial"/>
          <w:sz w:val="16"/>
          <w:szCs w:val="16"/>
          <w:color w:val="auto"/>
        </w:rPr>
        <w:t>”) that shall specify in reasonable detail the proposed implementation and administration of the Services in each calendar year, including goals regarding Potential Transactions sought by Innoviva, which Annual Workplan shall be updated on a quarterly basis (each, a “</w:t>
      </w:r>
      <w:r>
        <w:rPr>
          <w:rFonts w:ascii="Arial" w:cs="Arial" w:eastAsia="Arial" w:hAnsi="Arial"/>
          <w:sz w:val="16"/>
          <w:szCs w:val="16"/>
          <w:u w:val="single" w:color="auto"/>
          <w:color w:val="auto"/>
        </w:rPr>
        <w:t>Quarterly Update</w:t>
      </w:r>
      <w:r>
        <w:rPr>
          <w:rFonts w:ascii="Arial" w:cs="Arial" w:eastAsia="Arial" w:hAnsi="Arial"/>
          <w:sz w:val="16"/>
          <w:szCs w:val="16"/>
          <w:color w:val="auto"/>
        </w:rPr>
        <w:t>”). Without limiting Sarissa’s obligations under the rest of this Section 1, Sarissa will endeavor in good faith and on a commercially reasonable basis to assist Innoviva with Potential Transactions specified in the Annual Workplan (and/or Quarterly Updates) in accordance with the terms of this Agreement. For the avoidance of doubt, the parties acknowledge and agree that the Services are expected to be provided on an ongoing and regular basis, provided that nothing in this Agreement shall imply that Sarissa is required to dedicate any specific amount of time to the Services and/or to forego any other business activities that may be conducted by Sarissa.</w:t>
      </w:r>
    </w:p>
    <w:p>
      <w:pPr>
        <w:spacing w:after="0" w:line="166" w:lineRule="exact"/>
        <w:rPr>
          <w:rFonts w:ascii="Arial" w:cs="Arial" w:eastAsia="Arial" w:hAnsi="Arial"/>
          <w:sz w:val="16"/>
          <w:szCs w:val="16"/>
          <w:color w:val="auto"/>
        </w:rPr>
      </w:pPr>
    </w:p>
    <w:p>
      <w:pPr>
        <w:ind w:firstLine="436"/>
        <w:spacing w:after="0" w:line="255"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furtherance of the foregoing, within ten (10) Business Days of Innoviva providing Sarissa a draft of the Annual Workplan or a draft of any Quarterly Update, Sarissa will provide written advice to Innoviva regarding such draft. Sarissa acknowledges and understands that Innoviva will seek to finalize such Annual Workplan or Quarterly Update within five (5) Business Days of the date that Sarissa provides such written advice, and Sarissa shall therefore reasonably cooperate with Innoviva on a commercially reasonable basis and provide such further advice and assistance in connection therewith as Innoviva may reasonably request. For purposes of this Agreement, a Business Day is any day on which the New York Stock Exchange is open for business.</w:t>
      </w:r>
    </w:p>
    <w:p>
      <w:pPr>
        <w:spacing w:after="0" w:line="192" w:lineRule="exact"/>
        <w:rPr>
          <w:rFonts w:ascii="Arial" w:cs="Arial" w:eastAsia="Arial" w:hAnsi="Arial"/>
          <w:sz w:val="18"/>
          <w:szCs w:val="18"/>
          <w:color w:val="auto"/>
        </w:rPr>
      </w:pPr>
    </w:p>
    <w:p>
      <w:pPr>
        <w:ind w:firstLine="436"/>
        <w:spacing w:after="0" w:line="275" w:lineRule="auto"/>
        <w:tabs>
          <w:tab w:leader="none" w:pos="890" w:val="left"/>
        </w:tabs>
        <w:numPr>
          <w:ilvl w:val="0"/>
          <w:numId w:val="9"/>
        </w:numPr>
        <w:rPr>
          <w:rFonts w:ascii="Arial" w:cs="Arial" w:eastAsia="Arial" w:hAnsi="Arial"/>
          <w:sz w:val="17"/>
          <w:szCs w:val="17"/>
          <w:color w:val="auto"/>
        </w:rPr>
      </w:pPr>
      <w:r>
        <w:rPr>
          <w:rFonts w:ascii="Arial" w:cs="Arial" w:eastAsia="Arial" w:hAnsi="Arial"/>
          <w:sz w:val="17"/>
          <w:szCs w:val="17"/>
          <w:color w:val="auto"/>
        </w:rPr>
        <w:t>It is Innoviva’s intention for an Annual Workplan to be finalized by January 31 of each year, and for each Quarterly Update to be finalized by the end of the month immediately following the end of each fiscal quarter, and accordingly, Innoviva expects to deliver a draft of Annual Workplan at least 15 Business Days prior to January 31 of each year and a draft of each Quarterly Update at least 15 Business Days prior to the end of the month immediately following the end of each fiscal quarter in order for Sarissa to be provided sufficient time as set forth above to provide advice and assistance to Innoviva to finalize such Annual Workplan or Quarterly Update, as applicable.</w:t>
      </w:r>
    </w:p>
    <w:p>
      <w:pPr>
        <w:spacing w:after="0" w:line="176" w:lineRule="exact"/>
        <w:rPr>
          <w:sz w:val="20"/>
          <w:szCs w:val="20"/>
          <w:color w:val="auto"/>
        </w:rPr>
      </w:pPr>
    </w:p>
    <w:p>
      <w:pPr>
        <w:ind w:right="120" w:firstLine="436"/>
        <w:spacing w:after="0" w:line="263" w:lineRule="auto"/>
        <w:tabs>
          <w:tab w:leader="none" w:pos="8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event that Sarissa is in breach of its obligations to provide written advice on the draft Annual Workplan and/or any draft Quarterly Update pursuant to Section 1(f)(ii) and such breach remains uncured for a period of ten (10) Business Days following Innoviva’s written notice of such breach to Sarissa, Sarissa shall pay to Innoviva an amount, by wire transfer of immediately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1" w:name="page12"/>
    <w:bookmarkEnd w:id="11"/>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available funds, equal to the amount of the Management Fee (as defined in the Investment Management Agreement (the “</w:t>
      </w:r>
      <w:r>
        <w:rPr>
          <w:rFonts w:ascii="Arial" w:cs="Arial" w:eastAsia="Arial" w:hAnsi="Arial"/>
          <w:sz w:val="17"/>
          <w:szCs w:val="17"/>
          <w:u w:val="single" w:color="auto"/>
          <w:color w:val="auto"/>
        </w:rPr>
        <w:t>IMA</w:t>
      </w:r>
      <w:r>
        <w:rPr>
          <w:rFonts w:ascii="Arial" w:cs="Arial" w:eastAsia="Arial" w:hAnsi="Arial"/>
          <w:sz w:val="17"/>
          <w:szCs w:val="17"/>
          <w:color w:val="auto"/>
        </w:rPr>
        <w:t>”) dated as of the date hereof, by and between ISP Fund LP and Sarissa paid to Sarissa by the ISP Fund for the fiscal quarter immediately preceding the notice of such breach. Furthermore, no Management Fee shall be payable for any fiscal quarter in which Sarissa remains in such uncured breach pursuant to this Section 1(g), following written notice thereof by Innoviva, at the time the Management Fee would otherwise be payable.</w:t>
      </w:r>
    </w:p>
    <w:p>
      <w:pPr>
        <w:spacing w:after="0" w:line="171" w:lineRule="exact"/>
        <w:rPr>
          <w:sz w:val="20"/>
          <w:szCs w:val="20"/>
          <w:color w:val="auto"/>
        </w:rPr>
      </w:pPr>
    </w:p>
    <w:p>
      <w:pPr>
        <w:ind w:firstLine="436"/>
        <w:spacing w:after="0" w:line="257" w:lineRule="auto"/>
        <w:tabs>
          <w:tab w:leader="none" w:pos="8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Nothing in this Agreement shall be construed to limit the ability of Sarissa or its affiliates to pursue, investigate, analyze, invest in, or engage in investment advisory or any other business relationships with entities other than Innoviva, notwithstanding that such entities may be engaged in a business which is similar to or competitive with the business of Innoviva, and notwithstanding that such entities may have actual or potential operations, products, services, plans, ideas, customers or supplies similar or identical to Innoviva, or may have been identified by Innoviva as Potential Transactions.</w:t>
      </w:r>
    </w:p>
    <w:p>
      <w:pPr>
        <w:spacing w:after="0" w:line="187" w:lineRule="exact"/>
        <w:rPr>
          <w:rFonts w:ascii="Arial" w:cs="Arial" w:eastAsia="Arial" w:hAnsi="Arial"/>
          <w:sz w:val="18"/>
          <w:szCs w:val="18"/>
          <w:color w:val="auto"/>
        </w:rPr>
      </w:pPr>
    </w:p>
    <w:p>
      <w:pPr>
        <w:ind w:firstLine="987"/>
        <w:spacing w:after="0" w:line="263" w:lineRule="auto"/>
        <w:tabs>
          <w:tab w:leader="none" w:pos="1306"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No Fees</w:t>
      </w:r>
      <w:r>
        <w:rPr>
          <w:rFonts w:ascii="Arial" w:cs="Arial" w:eastAsia="Arial" w:hAnsi="Arial"/>
          <w:sz w:val="18"/>
          <w:szCs w:val="18"/>
          <w:color w:val="auto"/>
        </w:rPr>
        <w:t>. The Services shall be provided free of charge to Innoviva, and neither Sarissa nor any affiliate thereto shall be entitled to any separate or additional compensation for any such Services. Except as provided in Section 5, all fees, costs and expenses incurred under this Agreement by any party hereto shall be borne solely by the party that has incurred such fees and expenses.</w:t>
      </w:r>
    </w:p>
    <w:p>
      <w:pPr>
        <w:spacing w:after="0" w:line="183" w:lineRule="exact"/>
        <w:rPr>
          <w:rFonts w:ascii="Arial" w:cs="Arial" w:eastAsia="Arial" w:hAnsi="Arial"/>
          <w:sz w:val="18"/>
          <w:szCs w:val="18"/>
          <w:color w:val="auto"/>
        </w:rPr>
      </w:pPr>
    </w:p>
    <w:p>
      <w:pPr>
        <w:ind w:right="220" w:firstLine="987"/>
        <w:spacing w:after="0" w:line="277" w:lineRule="auto"/>
        <w:tabs>
          <w:tab w:leader="none" w:pos="1306"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Sarissa</w:t>
      </w:r>
      <w:r>
        <w:rPr>
          <w:rFonts w:ascii="Arial" w:cs="Arial" w:eastAsia="Arial" w:hAnsi="Arial"/>
          <w:sz w:val="18"/>
          <w:szCs w:val="18"/>
          <w:color w:val="auto"/>
        </w:rPr>
        <w:t>. As of the date of this Agreement and, with respect to clauses (a)-(d) immediately below, continuing throughout the term of this Agreement, Sarissa hereby represents and warrants to Innoviva that:</w:t>
      </w:r>
    </w:p>
    <w:p>
      <w:pPr>
        <w:spacing w:after="0" w:line="170" w:lineRule="exact"/>
        <w:rPr>
          <w:sz w:val="20"/>
          <w:szCs w:val="20"/>
          <w:color w:val="auto"/>
        </w:rPr>
      </w:pPr>
    </w:p>
    <w:p>
      <w:pPr>
        <w:ind w:left="820" w:hanging="38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Sarissa is duly formed, validly existing and in good standing under the laws of its jurisdiction of organization.</w:t>
      </w:r>
    </w:p>
    <w:p>
      <w:pPr>
        <w:spacing w:after="0" w:line="225" w:lineRule="exact"/>
        <w:rPr>
          <w:rFonts w:ascii="Arial" w:cs="Arial" w:eastAsia="Arial" w:hAnsi="Arial"/>
          <w:sz w:val="18"/>
          <w:szCs w:val="18"/>
          <w:color w:val="auto"/>
        </w:rPr>
      </w:pPr>
    </w:p>
    <w:p>
      <w:pPr>
        <w:ind w:right="340" w:firstLine="436"/>
        <w:spacing w:after="0" w:line="342" w:lineRule="auto"/>
        <w:tabs>
          <w:tab w:leader="none" w:pos="82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Agreement constitutes a legal, valid and binding obligation of Sarissa, enforceable against it in accordance with its terms, except as enforcement may be limited by bankruptcy, insolvency, liquidation or other similar laws affecting generally the enforcement of creditors’ rights.</w:t>
      </w:r>
    </w:p>
    <w:p>
      <w:pPr>
        <w:spacing w:after="0" w:line="123" w:lineRule="exact"/>
        <w:rPr>
          <w:rFonts w:ascii="Arial" w:cs="Arial" w:eastAsia="Arial" w:hAnsi="Arial"/>
          <w:sz w:val="16"/>
          <w:szCs w:val="16"/>
          <w:color w:val="auto"/>
        </w:rPr>
      </w:pPr>
    </w:p>
    <w:p>
      <w:pPr>
        <w:ind w:left="820" w:hanging="38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Sarissa has full power and authority to do and perform all acts contemplated by this Agreement.</w:t>
      </w:r>
    </w:p>
    <w:p>
      <w:pPr>
        <w:spacing w:after="0" w:line="225" w:lineRule="exact"/>
        <w:rPr>
          <w:rFonts w:ascii="Arial" w:cs="Arial" w:eastAsia="Arial" w:hAnsi="Arial"/>
          <w:sz w:val="18"/>
          <w:szCs w:val="18"/>
          <w:color w:val="auto"/>
        </w:rPr>
      </w:pPr>
    </w:p>
    <w:p>
      <w:pPr>
        <w:ind w:right="100" w:firstLine="436"/>
        <w:spacing w:after="0" w:line="301" w:lineRule="auto"/>
        <w:tabs>
          <w:tab w:leader="none" w:pos="83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the fulfillment of, or compliance with, the terms and provisions hereof, nor the performance of Sarissa’s obligations hereunder will conflict with, or result in a breach of any of the terms, conditions or provisions of (i) any federal, state or local law, regulation, order, regulatory guidance or agreement, or rule applicable to Sarissa or any of its affiliates, (ii) organizational documents of Sarissa or any of its affiliates or (iii) any agreement to which Sarissa or its affiliates is a party or by which it or its affiliates may be bound.</w:t>
      </w:r>
    </w:p>
    <w:p>
      <w:pPr>
        <w:spacing w:after="0" w:line="157" w:lineRule="exact"/>
        <w:rPr>
          <w:rFonts w:ascii="Arial" w:cs="Arial" w:eastAsia="Arial" w:hAnsi="Arial"/>
          <w:sz w:val="16"/>
          <w:szCs w:val="16"/>
          <w:color w:val="auto"/>
        </w:rPr>
      </w:pPr>
    </w:p>
    <w:p>
      <w:pPr>
        <w:ind w:right="60" w:firstLine="43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Sarissa has not and none of its directors, officers and employees has been barred from association with a broker-dealer by the SEC, any state or any self-regulatory organization, and no such person is suspended from association with a broker-dealer.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2" w:name="page13"/>
    <w:bookmarkEnd w:id="12"/>
    <w:p>
      <w:pPr>
        <w:ind w:firstLine="436"/>
        <w:spacing w:after="0" w:line="263" w:lineRule="auto"/>
        <w:tabs>
          <w:tab w:leader="none" w:pos="797"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 is no action, suit, proceeding, inquiry or investigation by or before any court, governmental agency, public board or body pending or, to the knowledge of Sarissa, threatened against or contemplated by any governmental agency which could reasonably be expected to materially impair the ability of Sarissa or its affiliates to perform under this Agreement.</w:t>
      </w:r>
    </w:p>
    <w:p>
      <w:pPr>
        <w:spacing w:after="0" w:line="183" w:lineRule="exact"/>
        <w:rPr>
          <w:rFonts w:ascii="Arial" w:cs="Arial" w:eastAsia="Arial" w:hAnsi="Arial"/>
          <w:sz w:val="18"/>
          <w:szCs w:val="18"/>
          <w:color w:val="auto"/>
        </w:rPr>
      </w:pPr>
    </w:p>
    <w:p>
      <w:pPr>
        <w:ind w:right="120" w:firstLine="987"/>
        <w:spacing w:after="0" w:line="277" w:lineRule="auto"/>
        <w:tabs>
          <w:tab w:leader="none" w:pos="1306"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Innoviva</w:t>
      </w:r>
      <w:r>
        <w:rPr>
          <w:rFonts w:ascii="Arial" w:cs="Arial" w:eastAsia="Arial" w:hAnsi="Arial"/>
          <w:sz w:val="18"/>
          <w:szCs w:val="18"/>
          <w:color w:val="auto"/>
        </w:rPr>
        <w:t>. As of the date of this Agreement and, with respect to clauses (a)-(d) immediately below, continuing throughout the term of this Agreement, Innoviva hereby represents and warrants to Sarissa that:</w:t>
      </w:r>
    </w:p>
    <w:p>
      <w:pPr>
        <w:spacing w:after="0" w:line="170" w:lineRule="exact"/>
        <w:rPr>
          <w:sz w:val="20"/>
          <w:szCs w:val="20"/>
          <w:color w:val="auto"/>
        </w:rPr>
      </w:pPr>
    </w:p>
    <w:p>
      <w:pPr>
        <w:ind w:left="820" w:hanging="38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Innoviva is duly formed, validly existing and in good standing under the laws of its jurisdiction of organization.</w:t>
      </w:r>
    </w:p>
    <w:p>
      <w:pPr>
        <w:spacing w:after="0" w:line="225" w:lineRule="exact"/>
        <w:rPr>
          <w:rFonts w:ascii="Arial" w:cs="Arial" w:eastAsia="Arial" w:hAnsi="Arial"/>
          <w:sz w:val="18"/>
          <w:szCs w:val="18"/>
          <w:color w:val="auto"/>
        </w:rPr>
      </w:pPr>
    </w:p>
    <w:p>
      <w:pPr>
        <w:ind w:right="220" w:firstLine="436"/>
        <w:spacing w:after="0" w:line="342" w:lineRule="auto"/>
        <w:tabs>
          <w:tab w:leader="none" w:pos="82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Agreement constitutes a legal, valid and binding obligation of Innoviva, enforceable against it in accordance with its terms, except as enforcement may be limited by bankruptcy, insolvency, liquidation or other similar laws affecting generally the enforcement of creditors’ rights.</w:t>
      </w:r>
    </w:p>
    <w:p>
      <w:pPr>
        <w:spacing w:after="0" w:line="123" w:lineRule="exact"/>
        <w:rPr>
          <w:rFonts w:ascii="Arial" w:cs="Arial" w:eastAsia="Arial" w:hAnsi="Arial"/>
          <w:sz w:val="16"/>
          <w:szCs w:val="16"/>
          <w:color w:val="auto"/>
        </w:rPr>
      </w:pPr>
    </w:p>
    <w:p>
      <w:pPr>
        <w:ind w:left="820" w:hanging="38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Innoviva has full power and authority to do and perform all acts contemplated by this Agreement.</w:t>
      </w:r>
    </w:p>
    <w:p>
      <w:pPr>
        <w:spacing w:after="0" w:line="225" w:lineRule="exact"/>
        <w:rPr>
          <w:rFonts w:ascii="Arial" w:cs="Arial" w:eastAsia="Arial" w:hAnsi="Arial"/>
          <w:sz w:val="18"/>
          <w:szCs w:val="18"/>
          <w:color w:val="auto"/>
        </w:rPr>
      </w:pPr>
    </w:p>
    <w:p>
      <w:pPr>
        <w:ind w:firstLine="436"/>
        <w:spacing w:after="0" w:line="301" w:lineRule="auto"/>
        <w:tabs>
          <w:tab w:leader="none" w:pos="83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the fulfillment of, or compliance with, the terms and provisions hereof, nor the performance of Innoviva’s obligations hereunder will conflict with, or result in a breach of any of the terms, conditions or provisions of (i) any federal, state or local law, regulation, order, regulatory guidance or agreement, or rule applicable to Innoviva or any of its affiliates, (ii) organizational documents of Innoviva or any of its affiliates or (iii) any agreement to which Innoviva or its affiliates is a party or by which it or its affiliates may be bound.</w:t>
      </w:r>
    </w:p>
    <w:p>
      <w:pPr>
        <w:spacing w:after="0" w:line="157" w:lineRule="exact"/>
        <w:rPr>
          <w:rFonts w:ascii="Arial" w:cs="Arial" w:eastAsia="Arial" w:hAnsi="Arial"/>
          <w:sz w:val="16"/>
          <w:szCs w:val="16"/>
          <w:color w:val="auto"/>
        </w:rPr>
      </w:pPr>
    </w:p>
    <w:p>
      <w:pPr>
        <w:ind w:right="40" w:firstLine="436"/>
        <w:spacing w:after="0" w:line="263" w:lineRule="auto"/>
        <w:tabs>
          <w:tab w:leader="none" w:pos="8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no action, suit, proceeding, inquiry or investigation by or before any court, governmental agency, public board or body pending or, to the knowledge of Innoviva, threatened against or contemplated by any governmental agency which could reasonably be expected to materially impair the ability of Innoviva or its affiliates to perform under this Agreement.</w:t>
      </w:r>
    </w:p>
    <w:p>
      <w:pPr>
        <w:spacing w:after="0" w:line="292" w:lineRule="exact"/>
        <w:rPr>
          <w:sz w:val="20"/>
          <w:szCs w:val="20"/>
          <w:color w:val="auto"/>
        </w:rPr>
      </w:pPr>
    </w:p>
    <w:p>
      <w:pPr>
        <w:ind w:left="1300" w:hanging="313"/>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Exculpation and 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436"/>
        <w:spacing w:after="0" w:line="270" w:lineRule="auto"/>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Innoviva will, except as otherwise provided in this Section 5 and to the fullest extent permitted by law, indemnify and keep the Indemnified Persons (as defined below) harmless against all proceedings, actions, claims and demands whatsoever (collectively “</w:t>
      </w:r>
      <w:r>
        <w:rPr>
          <w:rFonts w:ascii="Arial" w:cs="Arial" w:eastAsia="Arial" w:hAnsi="Arial"/>
          <w:sz w:val="17"/>
          <w:szCs w:val="17"/>
          <w:u w:val="single" w:color="auto"/>
          <w:color w:val="auto"/>
        </w:rPr>
        <w:t>Claims</w:t>
      </w:r>
      <w:r>
        <w:rPr>
          <w:rFonts w:ascii="Arial" w:cs="Arial" w:eastAsia="Arial" w:hAnsi="Arial"/>
          <w:sz w:val="17"/>
          <w:szCs w:val="17"/>
          <w:color w:val="auto"/>
        </w:rPr>
        <w:t>”) which may be brought or made against the Indemnified Persons in any jurisdiction whatsoever in connection with, arising out of or related to this Agreement, including the Services provided hereunder by Sarissa, as well as all awards, liabilities, costs, expenses (including reasonable legal fees), as and when incurred, and losses (collectively “</w:t>
      </w:r>
      <w:r>
        <w:rPr>
          <w:rFonts w:ascii="Arial" w:cs="Arial" w:eastAsia="Arial" w:hAnsi="Arial"/>
          <w:sz w:val="17"/>
          <w:szCs w:val="17"/>
          <w:u w:val="single" w:color="auto"/>
          <w:color w:val="auto"/>
        </w:rPr>
        <w:t>Liabilities</w:t>
      </w:r>
      <w:r>
        <w:rPr>
          <w:rFonts w:ascii="Arial" w:cs="Arial" w:eastAsia="Arial" w:hAnsi="Arial"/>
          <w:sz w:val="17"/>
          <w:szCs w:val="17"/>
          <w:color w:val="auto"/>
        </w:rPr>
        <w:t>”) actually suffered as a result of or in connection with such Claims (including investigating, preparing, or defending any such Claims) by Sarissa, any of its partners, members, officers, employees, agents or representatives or any of their respective affiliates (each, an “</w:t>
      </w:r>
      <w:r>
        <w:rPr>
          <w:rFonts w:ascii="Arial" w:cs="Arial" w:eastAsia="Arial" w:hAnsi="Arial"/>
          <w:sz w:val="17"/>
          <w:szCs w:val="17"/>
          <w:u w:val="single" w:color="auto"/>
          <w:color w:val="auto"/>
        </w:rPr>
        <w:t>Indemnified Person</w:t>
      </w:r>
      <w:r>
        <w:rPr>
          <w:rFonts w:ascii="Arial" w:cs="Arial" w:eastAsia="Arial" w:hAnsi="Arial"/>
          <w:sz w:val="17"/>
          <w:szCs w:val="17"/>
          <w:color w:val="auto"/>
        </w:rPr>
        <w:t>”). Subject to Sections 1(g) hereof and 5(c) below, none of Sarissa or any Indemnified Person shall have any liability (whether direct or indirect, in contract, tort or otherwise) to Innoviva or any of its affiliates in connection with any of the Services provided by Sarissa or otherwise in connection with this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3" w:name="page14"/>
    <w:bookmarkEnd w:id="13"/>
    <w:p>
      <w:pPr>
        <w:ind w:firstLine="436"/>
        <w:spacing w:after="0" w:line="284" w:lineRule="auto"/>
        <w:tabs>
          <w:tab w:leader="none" w:pos="830"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any Claim is brought, threatened or asserted against Sarissa or any other Indemnified Person, Sarissa shall promptly notify Innoviva; provided that the failure to so notify will not relieve Innoviva from any indemnity liabilities hereunder except to the extent such failure results in the forfeiture by Innoviva of rights or defenses. Upon prior written notice to Sarissa, Innoviva shall be entitled to, at its own expense, assume the defense of any Claims which become the subject of this indemnity (other than any Claim involving allegations of criminal activity); provided that any legal counsel retained by Innoviva for any such defense shall be subject to the prior written approval of Sarissa, in each instance, such approval not to be unreasonably withheld, conditioned or delayed. In any such Claim, the defense of which Innoviva shall have so assumed, Sarissa shall have the right to retain counsel of its own choice to represent it, but the expenses of such counsel shall be at the expense of Sarissa unless (i) Innoviva and Sarissa shall have mutually agreed in writing to the retention of such counsel, (ii) Innoviva shall have failed to employ counsel reasonably satisfactory to Sarissa in a timely manner, or (iii) the named parties to any such Claim (including any impleaded parties) include Innoviva and Sarissa or any other Indemnified Person and representation of both parties by the same counsel would, in the opinion of external counsel to Sarissa, create an actual or potential conflict of interest, in which case of clauses (i), (ii) or (iii), such expenses of counsel shall be at the expense of Innoviva. It is understood, however, that in the situation in which the expenses of counsel of Sarissa are not at the expense of Sarissa pursuant to the preceding sentence, Innoviva shall, in connection with any one such Claim or separate but substantially similar or related Claims, be responsible for the reasonable expenses of only one separate firm of attorneys (in addition to local counsel) at any time for all Indemnified Persons, which firm (and local counsel) shall be designated in writing by Sarissa. The counsels so designated by Sarissa, if any, shall, to the extent consistent with its professional responsibilities, cooperate with Innoviva and any counsel designated by Innoviva. Innoviva further agrees that it shall not agree to any settlement or consent to any award in respect to any Claims that are the subject of this indemnity without Sarissa’s prior written consent (with such consent not to be unreasonably withheld, conditioned or delayed); provided that no such consent shall be needed if such settlement or consent (x) includes a release of Sarissa and any other Indemnified Party from any Liabilities arising out of such Claim and (y) does not include any admission of fault or culpability by or on behalf of Sarissa or any other Indemnified Person. Sarissa and the other Indemnified Parties shall not agree to any settlement or consent to any award in respect to any Claims or Liabilities that are the subject of this indemnity without the prior written consent of Innoviva, (with such consent not to be unreasonably withheld, conditioned or delayed) .</w:t>
      </w:r>
    </w:p>
    <w:p>
      <w:pPr>
        <w:spacing w:after="0" w:line="179" w:lineRule="exact"/>
        <w:rPr>
          <w:rFonts w:ascii="Arial" w:cs="Arial" w:eastAsia="Arial" w:hAnsi="Arial"/>
          <w:sz w:val="16"/>
          <w:szCs w:val="16"/>
          <w:color w:val="auto"/>
        </w:rPr>
      </w:pPr>
    </w:p>
    <w:p>
      <w:pPr>
        <w:ind w:right="60" w:firstLine="436"/>
        <w:spacing w:after="0" w:line="263" w:lineRule="auto"/>
        <w:tabs>
          <w:tab w:leader="none" w:pos="8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indemnity and exculpation undertaking shall not apply to the extent that such Claims or Liabilities are finally (not subject to any further appeal) determined by a competent court to have resulted from Sarissa’s or an Indemnified Party’s fraud, bad faith, gross negligence or willful misconduct.</w:t>
      </w:r>
    </w:p>
    <w:p>
      <w:pPr>
        <w:spacing w:after="0" w:line="183" w:lineRule="exact"/>
        <w:rPr>
          <w:rFonts w:ascii="Arial" w:cs="Arial" w:eastAsia="Arial" w:hAnsi="Arial"/>
          <w:sz w:val="18"/>
          <w:szCs w:val="18"/>
          <w:color w:val="auto"/>
        </w:rPr>
      </w:pPr>
    </w:p>
    <w:p>
      <w:pPr>
        <w:ind w:right="180" w:firstLine="436"/>
        <w:spacing w:after="0" w:line="301" w:lineRule="auto"/>
        <w:tabs>
          <w:tab w:leader="none" w:pos="83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Sarissa makes no warranties with respect to any advice provided pursuant to this Agreement or Deliverables, including any information, data, opinions or projections therein (except for the use of good faith and reasonable diligence in the preparation thereof) and such items are subject to error. While Sarissa would endeavor to provide high quality Services to Innoviva, it does not make any commitment as to the outcome of any Annual Workplan, including that any Potential Transactions will be completed or that such Potential Transaction will generate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4" w:name="page15"/>
    <w:bookmarkEnd w:id="14"/>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positive returns. Since the decision to pursue any Potential Transaction rests solely with Innoviva, Sarissa shall have no liability or obligation in connection with any action taken or omitted by Innoviva. In addition, Innoviva acknowledges and agrees that Sarissa does not provide any tax, legal or accounting advice to Innoviva, and Innoviva shall obtain any such advice on its own.</w:t>
      </w:r>
    </w:p>
    <w:p>
      <w:pPr>
        <w:spacing w:after="0" w:line="184" w:lineRule="exact"/>
        <w:rPr>
          <w:sz w:val="20"/>
          <w:szCs w:val="20"/>
          <w:color w:val="auto"/>
        </w:rPr>
      </w:pPr>
    </w:p>
    <w:p>
      <w:pPr>
        <w:ind w:right="60" w:firstLine="987"/>
        <w:spacing w:after="0" w:line="271" w:lineRule="auto"/>
        <w:tabs>
          <w:tab w:leader="none" w:pos="1306"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continue in effect until the termination of the Partnership pursuant to the Partnership Agreement; provided that (i) Innoviva may terminate this Agreement at any time upon written notice to Sarissa and (ii) Sarissa may terminate this Agreement at any time in the event the Innoviva Subsidiary submits one or more withdrawal requests to the Partnership which in the aggregate cause its interest in the Partnership to be less than 50% of the Subscription Amount, as adjusted for any cumulative profits and losses. For the avoidance of doubt, any distributions to the Innoviva Subsidiary pursuant to Section 4.09(b) and (c) of the Partnership Agreement shall not be treated as withdrawal requests. Upon any such termination of this Agreement, this Agreement shall become null and void and of no further force or effect, except for the provisions of Sections 5, 6, 7, 8, 9, 10, 11, 12, 13, 14 and 15, which shall survive termination of this Agreement in perpetuity in accordance with the terms of such provisions (other than Section 7(b) which shall so survive for 2 years following such termination).</w:t>
      </w:r>
    </w:p>
    <w:p>
      <w:pPr>
        <w:spacing w:after="0" w:line="286" w:lineRule="exact"/>
        <w:rPr>
          <w:rFonts w:ascii="Arial" w:cs="Arial" w:eastAsia="Arial" w:hAnsi="Arial"/>
          <w:sz w:val="17"/>
          <w:szCs w:val="17"/>
          <w:color w:val="auto"/>
        </w:rPr>
      </w:pPr>
    </w:p>
    <w:p>
      <w:pPr>
        <w:ind w:left="1300" w:hanging="313"/>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Ownership of Work Product; Information and Confidentiality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20" w:hanging="38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Innoviva will own all materials prepared specifically for it by Sarissa in connection with the performance of the Services (the</w:t>
      </w:r>
    </w:p>
    <w:p>
      <w:pPr>
        <w:spacing w:after="0" w:line="2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Deliverables</w:t>
      </w:r>
      <w:r>
        <w:rPr>
          <w:rFonts w:ascii="Arial" w:cs="Arial" w:eastAsia="Arial" w:hAnsi="Arial"/>
          <w:sz w:val="16"/>
          <w:szCs w:val="16"/>
          <w:color w:val="auto"/>
        </w:rPr>
        <w:t>”). Innoviva may use the Deliverables for its own internal business operations and analysis only and agrees not to disclose the Deliverables to any third party (other than its attorneys, auditors and financial advisers) except as required by applicable law or otherwise expressly permitted under this Agreement; provided that to the extent legally permissible, Innoviva will give Sarissa notice of such requirement and use its reasonable best efforts to resist such disclosure or if such disclosure is so required, use reasonable best efforts to obtain confidential treatment for any information so disclosed and only disclose information to the extent so required. Notwithstanding anything contained herein to the contrary, Sarissa does not convey any ownership in any intellectual property or related rights owned or licensed by Sarissa and used in the performance of the Services, or the frameworks, methodologies, analytical tools and industry data and insights that may be used or developed by Sarissa in the performance of the Services (the “</w:t>
      </w:r>
      <w:r>
        <w:rPr>
          <w:rFonts w:ascii="Arial" w:cs="Arial" w:eastAsia="Arial" w:hAnsi="Arial"/>
          <w:sz w:val="16"/>
          <w:szCs w:val="16"/>
          <w:u w:val="single" w:color="auto"/>
          <w:color w:val="auto"/>
        </w:rPr>
        <w:t>Sarissa</w:t>
      </w:r>
      <w:r>
        <w:rPr>
          <w:rFonts w:ascii="Arial" w:cs="Arial" w:eastAsia="Arial" w:hAnsi="Arial"/>
          <w:sz w:val="16"/>
          <w:szCs w:val="16"/>
          <w:color w:val="auto"/>
        </w:rPr>
        <w:t xml:space="preserve"> </w:t>
      </w:r>
      <w:r>
        <w:rPr>
          <w:rFonts w:ascii="Arial" w:cs="Arial" w:eastAsia="Arial" w:hAnsi="Arial"/>
          <w:sz w:val="16"/>
          <w:szCs w:val="16"/>
          <w:u w:val="single" w:color="auto"/>
          <w:color w:val="auto"/>
        </w:rPr>
        <w:t>IP</w:t>
      </w:r>
      <w:r>
        <w:rPr>
          <w:rFonts w:ascii="Arial" w:cs="Arial" w:eastAsia="Arial" w:hAnsi="Arial"/>
          <w:sz w:val="16"/>
          <w:szCs w:val="16"/>
          <w:color w:val="auto"/>
        </w:rPr>
        <w:t>”). Subject to the terms and conditions of this Agreement, Sarissa grants to Innoviva and its subsidiaries a worldwide, non-exclusive, fully-paid, royalty-free license to use the Sarissa IP embedded in the Deliverables for Innoviva’s and its affiliates and subsidiaries’ own internal business operations and analysis only. Innoviva acknowledges that all advice (written, such as Sarissa IP and Deliverables, or oral) given by Sarissa to Innoviva in connection with the Services is intended solely for the benefit and use of Innoviva in connection with its assessment of Potential Transactions. Other than to the extent required to be reflected in Board of Directors and committee meeting minutes or as required by applicable law, no advice (written or oral) of Sarissa hereunder shall be used, reproduced, disseminated, quoted or referred to at any time, in any manner, or for any purpose not specified in this Agreement, nor shall any public references to Sarissa be made without its consent.</w:t>
      </w:r>
    </w:p>
    <w:p>
      <w:pPr>
        <w:spacing w:after="0" w:line="178" w:lineRule="exact"/>
        <w:rPr>
          <w:sz w:val="20"/>
          <w:szCs w:val="20"/>
          <w:color w:val="auto"/>
        </w:rPr>
      </w:pPr>
    </w:p>
    <w:p>
      <w:pPr>
        <w:ind w:firstLine="436"/>
        <w:spacing w:after="0" w:line="277" w:lineRule="auto"/>
        <w:tabs>
          <w:tab w:leader="none" w:pos="8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Sarissa shall keep confidential any and all information obtained from Innoviva or its affiliates in connection with the Services rendered under this Agreement and shall not disclose any such information (or use the same except in furtherance of its duties under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to third parties except (i) with the prior written consent of Innoviva, (ii) to legal counsel, accountants and other professional advisors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Innoviva or of Sarissa or any affiliate thereof (subject to such persons being subject to the same confidentiality obligations as set forth herein)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Representatives</w:t>
      </w:r>
      <w:r>
        <w:rPr>
          <w:rFonts w:ascii="Arial" w:cs="Arial" w:eastAsia="Arial" w:hAnsi="Arial"/>
          <w:sz w:val="16"/>
          <w:szCs w:val="16"/>
          <w:color w:val="auto"/>
        </w:rPr>
        <w:t>”); or (iii) as required by law or legal process to which Sarissa or any person to whom disclosure is permitted hereunder is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provided that to the extent legally permissible, Sarissa will give Innoviva notice of such requirement and use its reasonable best efforts to resist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disclosure or if such disclosure is so required, use reasonable best efforts to obtain confidential treatment for any information so disclosed and only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disclose information to the extent so required. The foregoing shall not apply to information that is publicly available through the actions of a person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than Sarissa and its Permitted Representatives not in breach of this Agreement. The provisions of this Section 7(b) shall survive the expiration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earlier termination of this Agreement for a period of two years.</w:t>
      </w:r>
    </w:p>
    <w:p>
      <w:pPr>
        <w:spacing w:after="0" w:line="211" w:lineRule="exact"/>
        <w:rPr>
          <w:sz w:val="20"/>
          <w:szCs w:val="20"/>
          <w:color w:val="auto"/>
        </w:rPr>
      </w:pPr>
    </w:p>
    <w:p>
      <w:pPr>
        <w:jc w:val="both"/>
        <w:ind w:right="60" w:firstLine="987"/>
        <w:spacing w:after="0" w:line="263" w:lineRule="auto"/>
        <w:tabs>
          <w:tab w:leader="none" w:pos="130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of the rights, interests or obligations hereunder shall be assigned, delegated or otherwise transferred by any of the parties in whole or in part (whether by operation of law or otherwise) without the prior written consent of the other parties, and any such assignment without such consent shall be null and void.</w:t>
      </w:r>
    </w:p>
    <w:p>
      <w:pPr>
        <w:spacing w:after="0" w:line="183" w:lineRule="exact"/>
        <w:rPr>
          <w:rFonts w:ascii="Arial" w:cs="Arial" w:eastAsia="Arial" w:hAnsi="Arial"/>
          <w:sz w:val="18"/>
          <w:szCs w:val="18"/>
          <w:color w:val="auto"/>
        </w:rPr>
      </w:pPr>
    </w:p>
    <w:p>
      <w:pPr>
        <w:ind w:firstLine="987"/>
        <w:spacing w:after="0" w:line="268" w:lineRule="auto"/>
        <w:tabs>
          <w:tab w:leader="none" w:pos="1306"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all rights and liabilities of the parties hereto shall be governed by and construed in accordance with the laws of the State of Delaware. Each of the parties (a)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and of the appropriate appellate courts therefrom, in the event any dispute or proceeding seeking to enforce any provision of, or based on any matter arising out of or in connection with, or otherwise relating to this Agreement or the transactions contemplated hereby, (b) agrees that it will not attempt to deny or defeat such personal jurisdiction by motion or other request for leave from any such court, and irrevocably agrees not to plead or claim any objection to the laying of venue in any such court or that any judicial proceeding in any such court has been brought in an inconvenient forum, (c) agrees that it will not bring any proceeding seeking to enforce any provision of, or based on any matter arising out of or in connection with, or otherwise relating to this Agreement or the transactions contemplated hereby in any court other than the Court of Chancery of the State of Delaware and any federal court located in the State of Delaware, or, if neither of such courts has subject matter jurisdiction, any state court of the State of Delaware having subject matter jurisdiction, (d) agrees that process in any such Proceeding may be served on such party anywhere in the world, whether within or without the jurisdiction of any such court and (e) WAIVES ALL RIGHTS TO A TRIAL BY JURY.</w:t>
      </w:r>
    </w:p>
    <w:p>
      <w:pPr>
        <w:spacing w:after="0" w:line="186" w:lineRule="exact"/>
        <w:rPr>
          <w:rFonts w:ascii="Arial" w:cs="Arial" w:eastAsia="Arial" w:hAnsi="Arial"/>
          <w:sz w:val="17"/>
          <w:szCs w:val="17"/>
          <w:color w:val="auto"/>
        </w:rPr>
      </w:pPr>
    </w:p>
    <w:p>
      <w:pPr>
        <w:ind w:right="320" w:firstLine="987"/>
        <w:spacing w:after="0" w:line="277" w:lineRule="auto"/>
        <w:tabs>
          <w:tab w:leader="none" w:pos="139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particular provision of this Agreement shall not affect the other provisions hereof, and this Agreement shall be construed as if such invalid or unenforceable provision were omitted.</w:t>
      </w:r>
    </w:p>
    <w:p>
      <w:pPr>
        <w:spacing w:after="0" w:line="170" w:lineRule="exact"/>
        <w:rPr>
          <w:rFonts w:ascii="Arial" w:cs="Arial" w:eastAsia="Arial" w:hAnsi="Arial"/>
          <w:sz w:val="18"/>
          <w:szCs w:val="18"/>
          <w:color w:val="auto"/>
        </w:rPr>
      </w:pPr>
    </w:p>
    <w:p>
      <w:pPr>
        <w:ind w:right="80" w:firstLine="987"/>
        <w:spacing w:after="0" w:line="263" w:lineRule="auto"/>
        <w:tabs>
          <w:tab w:leader="none" w:pos="1389"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 Waiver</w:t>
      </w:r>
      <w:r>
        <w:rPr>
          <w:rFonts w:ascii="Arial" w:cs="Arial" w:eastAsia="Arial" w:hAnsi="Arial"/>
          <w:sz w:val="18"/>
          <w:szCs w:val="18"/>
          <w:color w:val="auto"/>
        </w:rPr>
        <w:t>. This Agreement constitutes the entire understanding of each of the parties hereto with respect to the subject matter hereof. This Agreement may not be amended, altered or modified except with the prior written consent of the Innoviva and Sarissa. Any agreement on the part of a party to any extension or waiver shall be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6" w:name="page17"/>
    <w:bookmarkEnd w:id="1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valid only if set forth in an instrument in writing signed on behalf of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Innoviva shall only be deemed to have consented to any amendment, alteration, modification or waiver of this Agreement or any provision hereof if such amendment, alteration, modification or waiver is approved by a majority of the members of the Board that are not Sarissa Designees.</w:t>
      </w:r>
    </w:p>
    <w:p>
      <w:pPr>
        <w:spacing w:after="0" w:line="192" w:lineRule="exact"/>
        <w:rPr>
          <w:sz w:val="20"/>
          <w:szCs w:val="20"/>
          <w:color w:val="auto"/>
        </w:rPr>
      </w:pPr>
    </w:p>
    <w:p>
      <w:pPr>
        <w:ind w:firstLine="987"/>
        <w:spacing w:after="0" w:line="255" w:lineRule="auto"/>
        <w:tabs>
          <w:tab w:leader="none" w:pos="139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 the courts specified in Section 9 (and, to the fullest extent permitted by law, each party hereby waives any requirement for the securing or posting of any bond in connection with such remedy), this being in addition to any other remedy to which they are entitled at law or in equity.</w:t>
      </w:r>
    </w:p>
    <w:p>
      <w:pPr>
        <w:spacing w:after="0" w:line="192" w:lineRule="exact"/>
        <w:rPr>
          <w:rFonts w:ascii="Arial" w:cs="Arial" w:eastAsia="Arial" w:hAnsi="Arial"/>
          <w:sz w:val="18"/>
          <w:szCs w:val="18"/>
          <w:color w:val="auto"/>
        </w:rPr>
      </w:pPr>
    </w:p>
    <w:p>
      <w:pPr>
        <w:ind w:right="220" w:firstLine="987"/>
        <w:spacing w:after="0" w:line="277" w:lineRule="auto"/>
        <w:tabs>
          <w:tab w:leader="none" w:pos="139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w:t>
      </w:r>
    </w:p>
    <w:p>
      <w:pPr>
        <w:spacing w:after="0" w:line="170" w:lineRule="exact"/>
        <w:rPr>
          <w:rFonts w:ascii="Arial" w:cs="Arial" w:eastAsia="Arial" w:hAnsi="Arial"/>
          <w:sz w:val="18"/>
          <w:szCs w:val="18"/>
          <w:color w:val="auto"/>
        </w:rPr>
      </w:pPr>
    </w:p>
    <w:p>
      <w:pPr>
        <w:ind w:firstLine="987"/>
        <w:spacing w:after="0" w:line="275" w:lineRule="auto"/>
        <w:tabs>
          <w:tab w:leader="none" w:pos="1396"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Independent Contractor; No Fiduciary Duty</w:t>
      </w:r>
      <w:r>
        <w:rPr>
          <w:rFonts w:ascii="Arial" w:cs="Arial" w:eastAsia="Arial" w:hAnsi="Arial"/>
          <w:sz w:val="17"/>
          <w:szCs w:val="17"/>
          <w:color w:val="auto"/>
        </w:rPr>
        <w:t>. Innoviva acknowledges and agrees that it is a sophisticated business enterprise and that Sarissa has been retained pursuant to this Agreement solely with respect to the matters set forth herein and shall not have any duties or obligations to Innoviva except as expressly provided in this Agreement. Sarissa shall act as an independent contractor, and any duties of Sarissa arising out of its engagement pursuant to this Agreement shall be contractual in nature and shall be owed solely to Innoviva. Each party disclaims any intention to impose any fiduciary duty on the other in their respective capacities pursuant to this Agreement.</w:t>
      </w:r>
    </w:p>
    <w:p>
      <w:pPr>
        <w:spacing w:after="0" w:line="176" w:lineRule="exact"/>
        <w:rPr>
          <w:rFonts w:ascii="Arial" w:cs="Arial" w:eastAsia="Arial" w:hAnsi="Arial"/>
          <w:sz w:val="17"/>
          <w:szCs w:val="17"/>
          <w:color w:val="auto"/>
        </w:rPr>
      </w:pPr>
    </w:p>
    <w:p>
      <w:pPr>
        <w:ind w:right="420" w:firstLine="987"/>
        <w:spacing w:after="0" w:line="277" w:lineRule="auto"/>
        <w:tabs>
          <w:tab w:leader="none" w:pos="139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Beneficiaries</w:t>
      </w:r>
      <w:r>
        <w:rPr>
          <w:rFonts w:ascii="Arial" w:cs="Arial" w:eastAsia="Arial" w:hAnsi="Arial"/>
          <w:sz w:val="18"/>
          <w:szCs w:val="18"/>
          <w:color w:val="auto"/>
        </w:rPr>
        <w:t>. This Agreement shall inure to the sole and exclusive benefit of the parties hereto and their permitted assigns. The obligations and liabilities under this Agreement shall be binding solely upon the parties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SARISSA CAPITAL MANAGEMENT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Patrice Bonfiglio</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Patrice Bonfiglio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INNOVIVA, INC.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Marianne Zhen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Marianne Zhen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Accounting Officer</w:t>
            </w:r>
          </w:p>
        </w:tc>
      </w:tr>
    </w:tbl>
    <w:p>
      <w:pPr>
        <w:spacing w:after="0" w:line="13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40"/>
          </w:cols>
          <w:pgMar w:left="1420" w:top="274" w:right="4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PROPRIETARY AND CONFIDENTIAL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ISP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LIMITED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December 11, 2020</w:t>
      </w:r>
    </w:p>
    <w:p>
      <w:pPr>
        <w:spacing w:after="0" w:line="229"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THE LIMITED PARTNERSHIP INTERESTS EVIDENCED BY THIS AMENDED AND RESTATED LIMITED PARTNERSHIP AGREEMENT HAVE NOT BEEN REGISTERED UNDER THE U.S. SECURITIES ACT OF 1933, AS AMENDED, OR UNDER THE SECURITIES LAWS OF ANY U.S. STATE OR NON-U.S. JURISDICTION AND MAY NOT BE SOLD OR TRANSFERRED WITHOUT COMPLIANCE WITH APPLICABLE U.S. FEDERAL AND STATE OR NON-U.S. SECURITIES LAWS, PURSUANT TO REGISTRATION OR EXEMPTION THEREFROM. IN ADDITION, TRANSFERS OR OTHER DISPOSITIONS OF LIMITED PARTNERSHIP INTERESTS ARE RESTRICTED AS PROVIDED IN THIS AMENDED AND RESTATED LIMITED PARTNERSHIP AGREEMENT.</w:t>
      </w:r>
    </w:p>
    <w:p>
      <w:pPr>
        <w:sectPr>
          <w:pgSz w:w="11900" w:h="16838" w:orient="portrait"/>
          <w:cols w:equalWidth="0" w:num="1">
            <w:col w:w="11020"/>
          </w:cols>
          <w:pgMar w:left="440" w:top="121" w:right="4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ISP FUND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LIMITED PARTNERSHIP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AMENDED AND RESTATED LIMITED PARTNERSHIP AGREEMENT of ISP Fund LP (the “</w:t>
      </w:r>
      <w:r>
        <w:rPr>
          <w:rFonts w:ascii="Arial" w:cs="Arial" w:eastAsia="Arial" w:hAnsi="Arial"/>
          <w:sz w:val="17"/>
          <w:szCs w:val="17"/>
          <w:u w:val="single" w:color="auto"/>
          <w:color w:val="auto"/>
        </w:rPr>
        <w:t>Partnership</w:t>
      </w:r>
      <w:r>
        <w:rPr>
          <w:rFonts w:ascii="Arial" w:cs="Arial" w:eastAsia="Arial" w:hAnsi="Arial"/>
          <w:sz w:val="17"/>
          <w:szCs w:val="17"/>
          <w:color w:val="auto"/>
        </w:rPr>
        <w:t>”) made as of December 11,</w:t>
      </w:r>
    </w:p>
    <w:p>
      <w:pPr>
        <w:spacing w:after="0" w:line="35"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2020 by and among Sarissa Capital Fund GP LP, as general partner (the “</w:t>
      </w:r>
      <w:r>
        <w:rPr>
          <w:rFonts w:ascii="Arial" w:cs="Arial" w:eastAsia="Arial" w:hAnsi="Arial"/>
          <w:sz w:val="18"/>
          <w:szCs w:val="18"/>
          <w:u w:val="single" w:color="auto"/>
          <w:color w:val="auto"/>
        </w:rPr>
        <w:t>General Partner</w:t>
      </w:r>
      <w:r>
        <w:rPr>
          <w:rFonts w:ascii="Arial" w:cs="Arial" w:eastAsia="Arial" w:hAnsi="Arial"/>
          <w:sz w:val="18"/>
          <w:szCs w:val="18"/>
          <w:color w:val="auto"/>
        </w:rPr>
        <w:t>”), the Strategic Investor (as defined below), as a limited partner and the Investor Limited Partner (as defined below) as a limited partner (such Persons, including for the avoidance of doubt, the Strategic Investor, the “</w:t>
      </w:r>
      <w:r>
        <w:rPr>
          <w:rFonts w:ascii="Arial" w:cs="Arial" w:eastAsia="Arial" w:hAnsi="Arial"/>
          <w:sz w:val="18"/>
          <w:szCs w:val="18"/>
          <w:u w:val="single" w:color="auto"/>
          <w:color w:val="auto"/>
        </w:rPr>
        <w:t>Limited Partners</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WHEREAS, the Partnership was formed as a limited partnership under the Delaware Act on November 25, 2020 pursuant to the filing of the Certificate of Limited Partnership of the Partnership with the Office of the Secretary of State of the State of Delaware and a Limited Partnership Agreement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entered into by the General Partner and Eric Vincent (the “</w:t>
      </w:r>
      <w:r>
        <w:rPr>
          <w:rFonts w:ascii="Arial" w:cs="Arial" w:eastAsia="Arial" w:hAnsi="Arial"/>
          <w:sz w:val="18"/>
          <w:szCs w:val="18"/>
          <w:u w:val="single" w:color="auto"/>
          <w:color w:val="auto"/>
        </w:rPr>
        <w:t>Organizational Limited Partner</w:t>
      </w:r>
      <w:r>
        <w:rPr>
          <w:rFonts w:ascii="Arial" w:cs="Arial" w:eastAsia="Arial" w:hAnsi="Arial"/>
          <w:sz w:val="18"/>
          <w:szCs w:val="18"/>
          <w:color w:val="auto"/>
        </w:rPr>
        <w:t>”) in connection with the formation of the Partnership dated as of such date; and</w:t>
      </w:r>
    </w:p>
    <w:p>
      <w:pPr>
        <w:spacing w:after="0" w:line="18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WHEREAS, the undersigned wish to amend and restate the Original Agreement in its entirety as hereinafter set forth and to continue the business of the Partnership in accordance with the provisions of this Amended and Restated Limited Partnership Agreement (hereinafter, as it may from time to time be further amended, modified, supplemented or restated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NOW, THEREFORE, in consideration of the foregoing, the mutual covenants and agreements hereinafter set forth, and other good and valuable consideration, the parties hereto agree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Organization</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Formation</w:t>
      </w:r>
      <w:r>
        <w:rPr>
          <w:rFonts w:ascii="Arial" w:cs="Arial" w:eastAsia="Arial" w:hAnsi="Arial"/>
          <w:sz w:val="18"/>
          <w:szCs w:val="18"/>
          <w:color w:val="auto"/>
        </w:rPr>
        <w:t>. The Partnership was formed as a limited partnership under the Delaware Act on November 25, 2020, by the filing of the Certificate of Limited Partnership of the Partnership with the Office of the Secretary of State of the State of Delaware.</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Partnership Name and Principal Office</w:t>
      </w:r>
      <w:r>
        <w:rPr>
          <w:rFonts w:ascii="Arial" w:cs="Arial" w:eastAsia="Arial" w:hAnsi="Arial"/>
          <w:sz w:val="18"/>
          <w:szCs w:val="18"/>
          <w:color w:val="auto"/>
        </w:rPr>
        <w:t>. The name of the Partnership is “ISP Fund LP.” The principal office of the Partnership is located at 660 Steamboat Road, 3rd Floor, Greenwich, Connecticut 06830, or at such other location as the General Partner in the future may designate. The General Partner shall promptly notify the Limited Partners of any change in the Partnership’s address.</w:t>
      </w:r>
    </w:p>
    <w:p>
      <w:pPr>
        <w:spacing w:after="0" w:line="184"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Registered Agent and Registered Office</w:t>
      </w:r>
      <w:r>
        <w:rPr>
          <w:rFonts w:ascii="Arial" w:cs="Arial" w:eastAsia="Arial" w:hAnsi="Arial"/>
          <w:sz w:val="17"/>
          <w:szCs w:val="17"/>
          <w:color w:val="auto"/>
        </w:rPr>
        <w:t>. The registered agent for the Partnership is The Corporation Trust Company, or such other agent as the General Partner in the future may designate. The address of the registered office of the Partnership in the State of Delaware is c/o</w:t>
      </w:r>
    </w:p>
    <w:p>
      <w:pPr>
        <w:sectPr>
          <w:pgSz w:w="11900" w:h="16838" w:orient="portrait"/>
          <w:cols w:equalWidth="0" w:num="1">
            <w:col w:w="11000"/>
          </w:cols>
          <w:pgMar w:left="440" w:top="270" w:right="459" w:bottom="1440" w:gutter="0" w:footer="0" w:header="0"/>
        </w:sectPr>
      </w:pPr>
    </w:p>
    <w:bookmarkStart w:id="20" w:name="page21"/>
    <w:bookmarkEnd w:id="20"/>
    <w:p>
      <w:pPr>
        <w:ind w:left="4"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Corporation Trust Company, 1209 Orange Street, Wilmington, Delaware 19801, or at such other location as the General Partner in the future may designate. The General Partner shall promptly notify the Limited Partners of any change in the Partnership’s registered agent or registered office.</w:t>
      </w:r>
    </w:p>
    <w:p>
      <w:pPr>
        <w:spacing w:after="0" w:line="124"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Term of the Partnership</w:t>
      </w:r>
      <w:r>
        <w:rPr>
          <w:rFonts w:ascii="Arial" w:cs="Arial" w:eastAsia="Arial" w:hAnsi="Arial"/>
          <w:sz w:val="18"/>
          <w:szCs w:val="18"/>
          <w:color w:val="auto"/>
        </w:rPr>
        <w:t>. The term of the Partnership shall be perpetual unless sooner terminated in accordance with the provisions of this Agreement.</w:t>
      </w:r>
    </w:p>
    <w:p>
      <w:pPr>
        <w:spacing w:after="0" w:line="170"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Objects and Purposes</w:t>
      </w:r>
      <w:r>
        <w:rPr>
          <w:rFonts w:ascii="Arial" w:cs="Arial" w:eastAsia="Arial" w:hAnsi="Arial"/>
          <w:sz w:val="18"/>
          <w:szCs w:val="18"/>
          <w:color w:val="auto"/>
        </w:rPr>
        <w:t>. The Partnership is organized for the purposes investing in “long” positions in publicly-traded Securities, privately-traded Securities, and derivatives of, and other financial instruments related to, each of the foregoing (except as otherwise restricted herein) in the areas of healthcare, pharmaceutical and biotechnology as further described in Annex A hereto. For the avoidance of doubt, Annex A shall be deemed part of this Agreement. In connection with its investment in the Partnership, the Investor Limited Partner shall be provided with certain additional services specified in the Strategic Advisory Agreement on a fee-free basis</w:t>
      </w:r>
      <w:r>
        <w:rPr>
          <w:rFonts w:ascii="Arial" w:cs="Arial" w:eastAsia="Arial" w:hAnsi="Arial"/>
          <w:sz w:val="18"/>
          <w:szCs w:val="18"/>
          <w:b w:val="1"/>
          <w:bCs w:val="1"/>
          <w:color w:val="auto"/>
        </w:rPr>
        <w:t>.</w:t>
      </w:r>
    </w:p>
    <w:p>
      <w:pPr>
        <w:spacing w:after="0" w:line="188"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Limited Partners</w:t>
      </w:r>
      <w:r>
        <w:rPr>
          <w:rFonts w:ascii="Arial" w:cs="Arial" w:eastAsia="Arial" w:hAnsi="Arial"/>
          <w:sz w:val="16"/>
          <w:szCs w:val="16"/>
          <w:color w:val="auto"/>
        </w:rPr>
        <w:t>. The names of all the Limited Partners, their addresses, and the amounts of their respective contributions to the Partnership (“</w:t>
      </w:r>
      <w:r>
        <w:rPr>
          <w:rFonts w:ascii="Arial" w:cs="Arial" w:eastAsia="Arial" w:hAnsi="Arial"/>
          <w:sz w:val="16"/>
          <w:szCs w:val="16"/>
          <w:u w:val="single" w:color="auto"/>
          <w:color w:val="auto"/>
        </w:rPr>
        <w:t>Capital Contributions</w:t>
      </w:r>
      <w:r>
        <w:rPr>
          <w:rFonts w:ascii="Arial" w:cs="Arial" w:eastAsia="Arial" w:hAnsi="Arial"/>
          <w:sz w:val="16"/>
          <w:szCs w:val="16"/>
          <w:color w:val="auto"/>
        </w:rPr>
        <w:t>”) are set forth on a schedule, as it may be amended and supplemented from time to time by the General Partner, that shall be on file at the office of the Partnership referred to in Section 10.04 hereof. Each Limited Partner acknowledges that, if it fails to provide information regarding its beneficial owners as requested by the General Partner for the purpose of compliance with applicable laws relating to prevention of money laundering and/or financing of terrorism, then the General Partner will grant such Limited Partner an opportunity to either</w:t>
      </w:r>
    </w:p>
    <w:p>
      <w:pPr>
        <w:spacing w:after="0" w:line="2" w:lineRule="exact"/>
        <w:rPr>
          <w:sz w:val="20"/>
          <w:szCs w:val="20"/>
          <w:color w:val="auto"/>
        </w:rPr>
      </w:pPr>
    </w:p>
    <w:p>
      <w:pPr>
        <w:ind w:left="4" w:hanging="4"/>
        <w:spacing w:after="0" w:line="268" w:lineRule="auto"/>
        <w:tabs>
          <w:tab w:leader="none" w:pos="219"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 written certification from the third-party administrator of such Limited Partner’s compliance with applicable anti-money laundering laws and regulations, the delivery of which by the Limited Partner to the General Partner will be deemed to satisfy any request by the General Partner for information regarding the Limited Partner’s beneficial owners to the maximum extent permitted by applicable law, and/or (ii) transfer its interest in the Partnership to any permitted transferee of such Limited Partner qualified to invest in the Partnership pursuant to a transfer in compliance with the requirements of this Agreement and to disclose details of the beneficial owners of such permitted transferee in lieu of disclosure of details regarding any beneficial owners of such Limited Partner. The General Partner represents and warrants on behalf of itself and the Investment Manager that (a) it has or has caused the Administrator to perform at least industry standard due diligence designed to comply with applicable money-laundering and/or financing of terrorism laws and regulations on the Strategic Investor and (b) to each of their knowledge, distributions in connection with the Special Allocation Interests will not cause the Partnership or the Investor Limited Partner to violate any applicable money-laundering law and/or financing of terrorism laws and regulations.</w:t>
      </w:r>
    </w:p>
    <w:p>
      <w:pPr>
        <w:spacing w:after="0" w:line="179"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Liability of Limited Partners</w:t>
      </w:r>
      <w:r>
        <w:rPr>
          <w:rFonts w:ascii="Arial" w:cs="Arial" w:eastAsia="Arial" w:hAnsi="Arial"/>
          <w:sz w:val="18"/>
          <w:szCs w:val="18"/>
          <w:color w:val="auto"/>
        </w:rPr>
        <w:t>. Except as otherwise expressly provided under the Delaware Act or under Sections 4.10, 6.05(d) or 8.06(c) of this Agreement, the debts, obligations and liabilities of the Partnership, whether arising in contract, tort or otherwise, shall be solely the debts, obligations and liabilities of the Partnership, and a Limited Partner shall not be obligated personally for any such debt, obligation or liability of the Partnership solely by reason of being a Limited Partner and, for the avoidance of doubt, notwithstanding anything contained in any other agreement, instrument or document ancillary or incidental hereto, other than with respect to any material breach by the Investor Limited Partner of the representations and warranties provided in</w:t>
      </w:r>
    </w:p>
    <w:p>
      <w:pPr>
        <w:sectPr>
          <w:pgSz w:w="11900" w:h="16838" w:orient="portrait"/>
          <w:cols w:equalWidth="0" w:num="1">
            <w:col w:w="10964"/>
          </w:cols>
          <w:pgMar w:left="436" w:top="274" w:right="499" w:bottom="1440" w:gutter="0" w:footer="0" w:header="0"/>
        </w:sectPr>
      </w:pPr>
    </w:p>
    <w:bookmarkStart w:id="21" w:name="page22"/>
    <w:bookmarkEnd w:id="21"/>
    <w:p>
      <w:pPr>
        <w:ind w:left="4"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Investor Limited Partner’s subscription agreement, any recourse by Indemnified Parties in respect of obligations, duties or liabilities of the Investor Limited Partner shall be limited to the assets of the Partnership;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Limited Partner shall be required to contribute to the Partnership any amounts required under the Delaware Act and pursuant to Sections 4.10, 6.05(d) or 8.06(c), subject, in each case, to the limitations set forth therein. Notwithstanding anything set forth herein, no Limited Partner shall have any liability to any other Limited Partner; </w:t>
      </w:r>
      <w:r>
        <w:rPr>
          <w:rFonts w:ascii="Arial" w:cs="Arial" w:eastAsia="Arial" w:hAnsi="Arial"/>
          <w:sz w:val="16"/>
          <w:szCs w:val="16"/>
          <w:i w:val="1"/>
          <w:iCs w:val="1"/>
          <w:color w:val="auto"/>
        </w:rPr>
        <w:t>provided</w:t>
      </w:r>
      <w:r>
        <w:rPr>
          <w:rFonts w:ascii="Arial" w:cs="Arial" w:eastAsia="Arial" w:hAnsi="Arial"/>
          <w:sz w:val="16"/>
          <w:szCs w:val="16"/>
          <w:color w:val="auto"/>
        </w:rPr>
        <w:t>, that should the General Partner fail to enforce the obligations of the Strategic Investor to contribute to the Partnership amounts required under the Delaware Act or pursuant to Sections 4.10, 6.05(d) or 8.06(c) on behalf of the Partnership, the Investor Limited Partner shall have the right, and the General Partner will reasonably cooperate with the Investor Limited Partner to, enforce such obligations in the name of, and on behalf of, the Partnership.</w:t>
      </w:r>
    </w:p>
    <w:p>
      <w:pPr>
        <w:spacing w:after="0" w:line="166" w:lineRule="exact"/>
        <w:rPr>
          <w:sz w:val="20"/>
          <w:szCs w:val="20"/>
          <w:color w:val="auto"/>
        </w:rPr>
      </w:pPr>
    </w:p>
    <w:p>
      <w:pPr>
        <w:ind w:left="4" w:right="180" w:firstLine="440"/>
        <w:spacing w:after="0" w:line="279"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Liability of the General Partner</w:t>
      </w:r>
      <w:r>
        <w:rPr>
          <w:rFonts w:ascii="Arial" w:cs="Arial" w:eastAsia="Arial" w:hAnsi="Arial"/>
          <w:sz w:val="17"/>
          <w:szCs w:val="17"/>
          <w:color w:val="auto"/>
        </w:rPr>
        <w:t>. Except as otherwise provided under the Delaware Act, the General Partner shall have unlimited liability for the repayment and discharge of all debts, obligations and liabilities of the Partnership. Neither the General Partner nor any of its Affiliates shall be liable for the return of the Capital Contributions of any Limited Partner, and each Limited Partner hereby waives any and all claims that it may have against the General Partner or any Affiliate thereof (other than the Partnership) in this regard.</w:t>
      </w:r>
    </w:p>
    <w:p>
      <w:pPr>
        <w:spacing w:after="0" w:line="171"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Actions Requiring Consent</w:t>
      </w:r>
      <w:r>
        <w:rPr>
          <w:rFonts w:ascii="Arial" w:cs="Arial" w:eastAsia="Arial" w:hAnsi="Arial"/>
          <w:sz w:val="18"/>
          <w:szCs w:val="18"/>
          <w:color w:val="auto"/>
        </w:rPr>
        <w:t>. Notwithstanding anything to the contrary set forth herein, including those objects, purposes and actions authorized pursuant to Sections 1.05 and 3.02, the General Partner shall not cause or permit the Partnership to undertake any of the following actions without the prior written consent of the Investor Limited Partner, it being understood that the Investor Limited Partner will use reasonable efforts to respond to a request to undertake any of the following actions:</w:t>
      </w:r>
    </w:p>
    <w:p>
      <w:pPr>
        <w:spacing w:after="0" w:line="187" w:lineRule="exact"/>
        <w:rPr>
          <w:sz w:val="20"/>
          <w:szCs w:val="20"/>
          <w:color w:val="auto"/>
        </w:rPr>
      </w:pPr>
    </w:p>
    <w:p>
      <w:pPr>
        <w:ind w:left="4" w:firstLine="436"/>
        <w:spacing w:after="0" w:line="301" w:lineRule="auto"/>
        <w:tabs>
          <w:tab w:leader="none" w:pos="824"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principal transaction between the Partnership and the General Partner or any of its Affiliates, provided that this restriction shall not apply to any issuer that is an Affiliate of the General Partner or the Partnership solely by virtue of (i) the aggregate ownership interest in such issuer by the Partnership, the Sarissa Funds or any Parallel Account or (ii) membership on the board of directors of such issuer by one or more representatives of the Partnership, the Sarissa Funds or the General Partner in connection with the ownership interests described in the preceding clause (i);</w:t>
      </w:r>
    </w:p>
    <w:p>
      <w:pPr>
        <w:spacing w:after="0" w:line="157" w:lineRule="exact"/>
        <w:rPr>
          <w:rFonts w:ascii="Arial" w:cs="Arial" w:eastAsia="Arial" w:hAnsi="Arial"/>
          <w:sz w:val="16"/>
          <w:szCs w:val="16"/>
          <w:color w:val="auto"/>
        </w:rPr>
      </w:pPr>
    </w:p>
    <w:p>
      <w:pPr>
        <w:ind w:left="4" w:right="120" w:firstLine="436"/>
        <w:spacing w:after="0" w:line="277" w:lineRule="auto"/>
        <w:tabs>
          <w:tab w:leader="none" w:pos="834"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commencing, terminating or settling any material litigation involving the Partnership, other than any litigation involving an investment in a portfolio company in connection with the Partnership’s activist investment strategy;</w:t>
      </w:r>
    </w:p>
    <w:p>
      <w:pPr>
        <w:spacing w:after="0" w:line="170" w:lineRule="exact"/>
        <w:rPr>
          <w:rFonts w:ascii="Arial" w:cs="Arial" w:eastAsia="Arial" w:hAnsi="Arial"/>
          <w:sz w:val="18"/>
          <w:szCs w:val="18"/>
          <w:color w:val="auto"/>
        </w:rPr>
      </w:pPr>
    </w:p>
    <w:p>
      <w:pPr>
        <w:ind w:left="824" w:hanging="384"/>
        <w:spacing w:after="0"/>
        <w:tabs>
          <w:tab w:leader="none" w:pos="8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material change to the nature of the Partnership’s business;</w:t>
      </w:r>
    </w:p>
    <w:p>
      <w:pPr>
        <w:spacing w:after="0" w:line="225" w:lineRule="exact"/>
        <w:rPr>
          <w:rFonts w:ascii="Arial" w:cs="Arial" w:eastAsia="Arial" w:hAnsi="Arial"/>
          <w:sz w:val="18"/>
          <w:szCs w:val="18"/>
          <w:color w:val="auto"/>
        </w:rPr>
      </w:pPr>
    </w:p>
    <w:p>
      <w:pPr>
        <w:jc w:val="both"/>
        <w:ind w:left="4" w:right="360" w:firstLine="436"/>
        <w:spacing w:after="0" w:line="287" w:lineRule="auto"/>
        <w:tabs>
          <w:tab w:leader="none" w:pos="834"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provision of any indemnity, guarantee, warranty or other contractual commitment that is not provided in the ordinary course of the Partnership’s business (it being understood that ordinary course transactions (i) include, with respect to the Partnership’s service providers, prime brokers, trading counterparties and in connection with the settlement of trades and customary warranties as to ownership of the Partnership’s assets,</w:t>
      </w:r>
    </w:p>
    <w:p>
      <w:pPr>
        <w:spacing w:after="0" w:line="2" w:lineRule="exact"/>
        <w:rPr>
          <w:rFonts w:ascii="Arial" w:cs="Arial" w:eastAsia="Arial" w:hAnsi="Arial"/>
          <w:sz w:val="16"/>
          <w:szCs w:val="16"/>
          <w:color w:val="auto"/>
        </w:rPr>
      </w:pPr>
    </w:p>
    <w:p>
      <w:pPr>
        <w:ind w:left="4" w:right="220" w:hanging="4"/>
        <w:spacing w:after="0" w:line="260" w:lineRule="auto"/>
        <w:tabs>
          <w:tab w:leader="none" w:pos="2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 with respect to the Partnership’s investment activities, indemnitees, guarantees, warranties or other contractual commitments entered into with, provided to, or undertaken for the benefit of, co-investors that</w:t>
      </w:r>
    </w:p>
    <w:p>
      <w:pPr>
        <w:sectPr>
          <w:pgSz w:w="11900" w:h="16838" w:orient="portrait"/>
          <w:cols w:equalWidth="0" w:num="1">
            <w:col w:w="10984"/>
          </w:cols>
          <w:pgMar w:left="436" w:top="274" w:right="479" w:bottom="1440" w:gutter="0" w:footer="0" w:header="0"/>
        </w:sectPr>
      </w:pPr>
    </w:p>
    <w:bookmarkStart w:id="22" w:name="page23"/>
    <w:bookmarkEnd w:id="22"/>
    <w:p>
      <w:pPr>
        <w:ind w:right="2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 in portfolio companies alongside the Partnership and (iii) for these purposes, do not include transactions with the Sarissa Funds, any Parallel Account, or any investor in any fund or account managed by the Investment Manager, the General Partner or any of their Affiliates other than “cross transactions” undertaken for the purpose of rebalancing the Partnership’s portfolio or co-investments with the Sarissa Fund, Parallel Accounts or any other fund or account managed by the Investment Manager, the General Partner or any of their Affiliates);</w:t>
      </w:r>
    </w:p>
    <w:p>
      <w:pPr>
        <w:spacing w:after="0" w:line="171" w:lineRule="exact"/>
        <w:rPr>
          <w:sz w:val="20"/>
          <w:szCs w:val="20"/>
          <w:color w:val="auto"/>
        </w:rPr>
      </w:pPr>
    </w:p>
    <w:p>
      <w:pPr>
        <w:ind w:right="60" w:firstLine="436"/>
        <w:spacing w:after="0" w:line="275" w:lineRule="auto"/>
        <w:tabs>
          <w:tab w:leader="none" w:pos="86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acquiring the equity of any portfolio company such that the Partnership holds more than of 9.9% of the equity of such portfolio company; </w:t>
      </w:r>
      <w:r>
        <w:rPr>
          <w:rFonts w:ascii="Arial" w:cs="Arial" w:eastAsia="Arial" w:hAnsi="Arial"/>
          <w:sz w:val="17"/>
          <w:szCs w:val="17"/>
          <w:i w:val="1"/>
          <w:iCs w:val="1"/>
          <w:color w:val="auto"/>
        </w:rPr>
        <w:t>provided</w:t>
      </w:r>
      <w:r>
        <w:rPr>
          <w:rFonts w:ascii="Arial" w:cs="Arial" w:eastAsia="Arial" w:hAnsi="Arial"/>
          <w:sz w:val="17"/>
          <w:szCs w:val="17"/>
          <w:color w:val="auto"/>
        </w:rPr>
        <w:t>, that an additional consent of the Investor Limited Partner shall be required before the Partnership acquires more than 19.9% of the equity of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portfolio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the Investor Limited Partner has consented to acquiring more than 19.9% of the equity of a portfolio company and the Partnership has subsequently acquired more than 19.9% of the equity of such portfolio company, then an additional consent of the Investor Limited Partner shall be required prior to any further acquisitions of the equity of such portfolio company;</w:t>
      </w:r>
    </w:p>
    <w:p>
      <w:pPr>
        <w:spacing w:after="0" w:line="176" w:lineRule="exact"/>
        <w:rPr>
          <w:rFonts w:ascii="Arial" w:cs="Arial" w:eastAsia="Arial" w:hAnsi="Arial"/>
          <w:sz w:val="17"/>
          <w:szCs w:val="17"/>
          <w:color w:val="auto"/>
        </w:rPr>
      </w:pPr>
    </w:p>
    <w:p>
      <w:pPr>
        <w:ind w:left="840" w:hanging="40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Investment in a portfolio company shares of which are not listed on any domestic or foreign stock exchange.</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Special Allocation Interests</w:t>
      </w:r>
      <w:r>
        <w:rPr>
          <w:rFonts w:ascii="Arial" w:cs="Arial" w:eastAsia="Arial" w:hAnsi="Arial"/>
          <w:sz w:val="18"/>
          <w:szCs w:val="18"/>
          <w:color w:val="auto"/>
        </w:rPr>
        <w:t>. The Partnership shall issue a special non-voting, limited partnership interest to each Strategic Investor (each such interest, a “</w:t>
      </w:r>
      <w:r>
        <w:rPr>
          <w:rFonts w:ascii="Arial" w:cs="Arial" w:eastAsia="Arial" w:hAnsi="Arial"/>
          <w:sz w:val="18"/>
          <w:szCs w:val="18"/>
          <w:u w:val="single" w:color="auto"/>
          <w:color w:val="auto"/>
        </w:rPr>
        <w:t>Special Allocation Interest</w:t>
      </w:r>
      <w:r>
        <w:rPr>
          <w:rFonts w:ascii="Arial" w:cs="Arial" w:eastAsia="Arial" w:hAnsi="Arial"/>
          <w:sz w:val="18"/>
          <w:szCs w:val="18"/>
          <w:color w:val="auto"/>
        </w:rPr>
        <w:t>”). There shall be two classes of Special Allocation Interest: (i) a Special Allocation Interest that entitles the Strategic Investor holding such Special Allocation Interest to receive distributions calculated in the same manner and payable at the same times as the Management Fee, as well as corresponding allocations to a Capital Account maintained for such Strategic Investor (the “</w:t>
      </w:r>
      <w:r>
        <w:rPr>
          <w:rFonts w:ascii="Arial" w:cs="Arial" w:eastAsia="Arial" w:hAnsi="Arial"/>
          <w:sz w:val="18"/>
          <w:szCs w:val="18"/>
          <w:u w:val="single" w:color="auto"/>
          <w:color w:val="auto"/>
        </w:rPr>
        <w:t>Asset-Based Special Allocation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Interest</w:t>
      </w:r>
      <w:r>
        <w:rPr>
          <w:rFonts w:ascii="Arial" w:cs="Arial" w:eastAsia="Arial" w:hAnsi="Arial"/>
          <w:sz w:val="18"/>
          <w:szCs w:val="18"/>
          <w:color w:val="auto"/>
        </w:rPr>
        <w:t>”) and (ii) a Special Allocation Interest that entitles the Strategic Investor holding such Special Allocation Interest to receive allocations calculated in the same manner and allocable at the same times as the Performance Allocation, as well as corresponding distributions (the “</w:t>
      </w:r>
      <w:r>
        <w:rPr>
          <w:rFonts w:ascii="Arial" w:cs="Arial" w:eastAsia="Arial" w:hAnsi="Arial"/>
          <w:sz w:val="18"/>
          <w:szCs w:val="18"/>
          <w:u w:val="single" w:color="auto"/>
          <w:color w:val="auto"/>
        </w:rPr>
        <w:t>Performance-Based Special Allocation Interest</w:t>
      </w:r>
      <w:r>
        <w:rPr>
          <w:rFonts w:ascii="Arial" w:cs="Arial" w:eastAsia="Arial" w:hAnsi="Arial"/>
          <w:sz w:val="18"/>
          <w:szCs w:val="18"/>
          <w:color w:val="auto"/>
        </w:rPr>
        <w:t>”).</w:t>
      </w:r>
    </w:p>
    <w:p>
      <w:pPr>
        <w:spacing w:after="0" w:line="195"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Withdrawal of the Organizational Limited Partner</w:t>
      </w:r>
      <w:r>
        <w:rPr>
          <w:rFonts w:ascii="Arial" w:cs="Arial" w:eastAsia="Arial" w:hAnsi="Arial"/>
          <w:sz w:val="18"/>
          <w:szCs w:val="18"/>
          <w:color w:val="auto"/>
        </w:rPr>
        <w:t>. Upon the admission to the Partnership of any Limited Partner other than the Organizational Limited Partner, the Organizational Limited Partner shall withdraw from the Partnership and shall have no further right, interest or obligation of any kind whatsoever as a Limited Partner.</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unless the context otherwise requires, the following terms shall have the following respective meanings: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30-Day Election Period</w:t>
      </w:r>
      <w:r>
        <w:rPr>
          <w:rFonts w:ascii="Arial" w:cs="Arial" w:eastAsia="Arial" w:hAnsi="Arial"/>
          <w:sz w:val="18"/>
          <w:szCs w:val="18"/>
          <w:color w:val="auto"/>
        </w:rPr>
        <w:t>” shall have the meaning set forth in Section 6.02 hereof.</w:t>
      </w:r>
    </w:p>
    <w:p>
      <w:pPr>
        <w:spacing w:after="0" w:line="225"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Period</w:t>
      </w:r>
      <w:r>
        <w:rPr>
          <w:rFonts w:ascii="Arial" w:cs="Arial" w:eastAsia="Arial" w:hAnsi="Arial"/>
          <w:sz w:val="18"/>
          <w:szCs w:val="18"/>
          <w:color w:val="auto"/>
        </w:rPr>
        <w:t>” shall mean any of the following: (w) any calendar month within a Fiscal Year; (x) any Fiscal Year; (y) if during any Fiscal Year any contribution to, or withdrawal or distribution from, the capital of the Partnership shall have been made at any time other than the last day of such Fiscal Year, one or more of the following periods: (A) the period commencing on</w:t>
      </w:r>
    </w:p>
    <w:p>
      <w:pPr>
        <w:sectPr>
          <w:pgSz w:w="11900" w:h="16838" w:orient="portrait"/>
          <w:cols w:equalWidth="0" w:num="1">
            <w:col w:w="10980"/>
          </w:cols>
          <w:pgMar w:left="440" w:top="274" w:right="479" w:bottom="1440" w:gutter="0" w:footer="0" w:header="0"/>
        </w:sectPr>
      </w:pPr>
    </w:p>
    <w:bookmarkStart w:id="23" w:name="page24"/>
    <w:bookmarkEnd w:id="23"/>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first day of such Fiscal Year and ending on the date of such withdrawal or distribution, or the day immediately preceding the date of any such contribution, and (B) each successive period or periods in such Fiscal Year commencing on the date of any such contribution, or the day following the date of such withdrawal, and ending on the earlier to occur of (I) the last day of such Fiscal Year or (II) the date of the next such withdrawal or distribution, or the day immediately preceding the date of the next succeeding contribution to the capital of the Partnership, during such Fiscal Year (in each case, an “</w:t>
      </w:r>
      <w:r>
        <w:rPr>
          <w:rFonts w:ascii="Arial" w:cs="Arial" w:eastAsia="Arial" w:hAnsi="Arial"/>
          <w:sz w:val="17"/>
          <w:szCs w:val="17"/>
          <w:u w:val="single" w:color="auto"/>
          <w:color w:val="auto"/>
        </w:rPr>
        <w:t>Interim Accounting Period</w:t>
      </w:r>
      <w:r>
        <w:rPr>
          <w:rFonts w:ascii="Arial" w:cs="Arial" w:eastAsia="Arial" w:hAnsi="Arial"/>
          <w:sz w:val="17"/>
          <w:szCs w:val="17"/>
          <w:color w:val="auto"/>
        </w:rPr>
        <w:t>”); or (z) such other Interim Accounting Period as the General Partner, in its discretion, shall deem necessary or desirable to fairly account for changes in a Limited Partner’s Capital Account.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Capital Contribution</w:t>
      </w:r>
      <w:r>
        <w:rPr>
          <w:rFonts w:ascii="Arial" w:cs="Arial" w:eastAsia="Arial" w:hAnsi="Arial"/>
          <w:sz w:val="18"/>
          <w:szCs w:val="18"/>
          <w:color w:val="auto"/>
        </w:rPr>
        <w:t>” shall have the meaning set forth in Section 4.02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shall have the meaning set forth in Section 4.07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Advisers Act</w:t>
      </w:r>
      <w:r>
        <w:rPr>
          <w:rFonts w:ascii="Arial" w:cs="Arial" w:eastAsia="Arial" w:hAnsi="Arial"/>
          <w:sz w:val="18"/>
          <w:szCs w:val="18"/>
          <w:color w:val="auto"/>
        </w:rPr>
        <w:t>” shall have the meaning set forth in Section 3.05(c)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Advisory Fee</w:t>
      </w:r>
      <w:r>
        <w:rPr>
          <w:rFonts w:ascii="Arial" w:cs="Arial" w:eastAsia="Arial" w:hAnsi="Arial"/>
          <w:sz w:val="18"/>
          <w:szCs w:val="18"/>
          <w:color w:val="auto"/>
        </w:rPr>
        <w:t>” shall have the meaning set forth in Section 3.08(a) hereof.</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“first” Person, (i) any Person directly or indirectly controlling, controlled by, or under common control with the first Person, or (ii) a Person directly or indirectly owning, controlling, or having a beneficial interest in fifty percent (50%) or more of the outstanding voting Securities or interests of the first Person. As used in this definition of Affiliate, the term “</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and policies of a Person, whether through ownership of voting Securities or partnership interests, by contract, or otherwise.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recitals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Election</w:t>
      </w:r>
      <w:r>
        <w:rPr>
          <w:rFonts w:ascii="Arial" w:cs="Arial" w:eastAsia="Arial" w:hAnsi="Arial"/>
          <w:sz w:val="18"/>
          <w:szCs w:val="18"/>
          <w:color w:val="auto"/>
        </w:rPr>
        <w:t>” shall have the meaning set forth in Section 4.09(b)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Asset-Based Special Allocation Interest</w:t>
      </w:r>
      <w:r>
        <w:rPr>
          <w:rFonts w:ascii="Arial" w:cs="Arial" w:eastAsia="Arial" w:hAnsi="Arial"/>
          <w:sz w:val="18"/>
          <w:szCs w:val="18"/>
          <w:color w:val="auto"/>
        </w:rPr>
        <w:t>” shall have the meaning set forth in Section 1.09.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Asset-Based Special Distribution</w:t>
      </w:r>
      <w:r>
        <w:rPr>
          <w:rFonts w:ascii="Arial" w:cs="Arial" w:eastAsia="Arial" w:hAnsi="Arial"/>
          <w:sz w:val="18"/>
          <w:szCs w:val="18"/>
          <w:color w:val="auto"/>
        </w:rPr>
        <w:t>” shall have the meaning set forth in Section 3.08(a) hereof.</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Representative</w:t>
      </w:r>
      <w:r>
        <w:rPr>
          <w:rFonts w:ascii="Arial" w:cs="Arial" w:eastAsia="Arial" w:hAnsi="Arial"/>
          <w:sz w:val="18"/>
          <w:szCs w:val="18"/>
          <w:color w:val="auto"/>
        </w:rPr>
        <w:t>” shall mean, with respect to any Person, such Person’s directors, employees, agents, advisors, or representatives responsible for matters relating to the Partnership or any other Person approved in writing by the General Partner.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on which the New York Stock Exchange is open for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Account</w:t>
      </w:r>
      <w:r>
        <w:rPr>
          <w:rFonts w:ascii="Arial" w:cs="Arial" w:eastAsia="Arial" w:hAnsi="Arial"/>
          <w:sz w:val="18"/>
          <w:szCs w:val="18"/>
          <w:color w:val="auto"/>
        </w:rPr>
        <w:t>” shall have the meaning set forth in Section 4.03(a)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Contributions</w:t>
      </w:r>
      <w:r>
        <w:rPr>
          <w:rFonts w:ascii="Arial" w:cs="Arial" w:eastAsia="Arial" w:hAnsi="Arial"/>
          <w:sz w:val="18"/>
          <w:szCs w:val="18"/>
          <w:color w:val="auto"/>
        </w:rPr>
        <w:t>” shall have the meaning set forth in Section 1.06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have the meaning set forth in Section 6.02 hereof.</w:t>
      </w:r>
    </w:p>
    <w:p>
      <w:pPr>
        <w:sectPr>
          <w:pgSz w:w="11900" w:h="16838" w:orient="portrait"/>
          <w:cols w:equalWidth="0" w:num="1">
            <w:col w:w="10960"/>
          </w:cols>
          <w:pgMar w:left="440" w:top="274" w:right="49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Closing Capital Balance</w:t>
      </w:r>
      <w:r>
        <w:rPr>
          <w:rFonts w:ascii="Arial" w:cs="Arial" w:eastAsia="Arial" w:hAnsi="Arial"/>
          <w:sz w:val="18"/>
          <w:szCs w:val="18"/>
          <w:color w:val="auto"/>
        </w:rPr>
        <w:t>” shall have the meaning set forth in Section 4.05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Co-Invest</w:t>
      </w:r>
      <w:r>
        <w:rPr>
          <w:rFonts w:ascii="Arial" w:cs="Arial" w:eastAsia="Arial" w:hAnsi="Arial"/>
          <w:sz w:val="18"/>
          <w:szCs w:val="18"/>
          <w:color w:val="auto"/>
        </w:rPr>
        <w:t>” shall have the meaning set forth in Section 10.02(a)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Co-Invest Rights Package</w:t>
      </w:r>
      <w:r>
        <w:rPr>
          <w:rFonts w:ascii="Arial" w:cs="Arial" w:eastAsia="Arial" w:hAnsi="Arial"/>
          <w:sz w:val="18"/>
          <w:szCs w:val="18"/>
          <w:color w:val="auto"/>
        </w:rPr>
        <w:t>” shall have the meaning set forth in Section 10.02(b)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shall have the meaning set forth in Section 7.07(b) hereof.</w:t>
      </w:r>
    </w:p>
    <w:p>
      <w:pPr>
        <w:spacing w:after="0" w:line="22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mean all information: (i) concerning the business and affairs of the Partnership or its Affiliates that the General Partner in its sole discretion reasonably believes to be in the nature of trade secret or (ii) any other information, (x) the disclosure of which the General Partner in its sole discretion believes is not in the best interest of the Partnership or its Affiliates, or could damage the Partnership or its Affiliates or their respective businesses, or (y) which the Partnership or its Affiliates are required by law or agreement with a third party to keep confidential, including any information relating to the Partnership’s financials, investment strategy (</w:t>
      </w:r>
      <w:r>
        <w:rPr>
          <w:rFonts w:ascii="Arial" w:cs="Arial" w:eastAsia="Arial" w:hAnsi="Arial"/>
          <w:sz w:val="17"/>
          <w:szCs w:val="17"/>
          <w:i w:val="1"/>
          <w:iCs w:val="1"/>
          <w:color w:val="auto"/>
        </w:rPr>
        <w:t>e.g</w:t>
      </w:r>
      <w:r>
        <w:rPr>
          <w:rFonts w:ascii="Arial" w:cs="Arial" w:eastAsia="Arial" w:hAnsi="Arial"/>
          <w:sz w:val="17"/>
          <w:szCs w:val="17"/>
          <w:color w:val="auto"/>
        </w:rPr>
        <w:t>., portfolio positions, trades and contemplated trades), performance results, valuations, the names and addresses of each of the Partners, their contact information and their initial and subsequent Capital Contributions and any details regarding any arrangement the Partnership may have with any Persons.</w:t>
      </w:r>
    </w:p>
    <w:p>
      <w:pPr>
        <w:spacing w:after="0" w:line="17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Complete Accounting Period</w:t>
      </w:r>
      <w:r>
        <w:rPr>
          <w:rFonts w:ascii="Arial" w:cs="Arial" w:eastAsia="Arial" w:hAnsi="Arial"/>
          <w:sz w:val="18"/>
          <w:szCs w:val="18"/>
          <w:color w:val="auto"/>
        </w:rPr>
        <w:t>” shall mean a period, with respect to any Limited Partner, which shall (i) commence on the day such Limited Partner makes the first Capital Contribution to the Partnership in the case of the first Complete Accounting Period and for each Complete Accounting Period thereafter immediately after the close of the preceding Complete Accounting Period, (ii) end on the earlier of (a) December 31 of the same calendar year, (b) the Withdrawal Payment Date of a complete withdrawal by such Limited Partner, (c) the date as of which the Partnership is dissolved and wound up, or (d) the date of the Removal of the General Partner.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Notice</w:t>
      </w:r>
      <w:r>
        <w:rPr>
          <w:rFonts w:ascii="Arial" w:cs="Arial" w:eastAsia="Arial" w:hAnsi="Arial"/>
          <w:sz w:val="18"/>
          <w:szCs w:val="18"/>
          <w:color w:val="auto"/>
        </w:rPr>
        <w:t>” shall have the meaning set forth in Section 7.07(b) hereof.</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Act</w:t>
      </w:r>
      <w:r>
        <w:rPr>
          <w:rFonts w:ascii="Arial" w:cs="Arial" w:eastAsia="Arial" w:hAnsi="Arial"/>
          <w:sz w:val="18"/>
          <w:szCs w:val="18"/>
          <w:color w:val="auto"/>
        </w:rPr>
        <w:t xml:space="preserve">” shall mean the Delaware Revised Uniform Limited Partnership Act (Del. Code Ann. tit. 6 § 17-101 </w:t>
      </w:r>
      <w:r>
        <w:rPr>
          <w:rFonts w:ascii="Arial" w:cs="Arial" w:eastAsia="Arial" w:hAnsi="Arial"/>
          <w:sz w:val="18"/>
          <w:szCs w:val="18"/>
          <w:i w:val="1"/>
          <w:iCs w:val="1"/>
          <w:color w:val="auto"/>
        </w:rPr>
        <w:t>et seq.</w:t>
      </w:r>
      <w:r>
        <w:rPr>
          <w:rFonts w:ascii="Arial" w:cs="Arial" w:eastAsia="Arial" w:hAnsi="Arial"/>
          <w:sz w:val="18"/>
          <w:szCs w:val="18"/>
          <w:color w:val="auto"/>
        </w:rPr>
        <w:t>), as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Distributable Gain</w:t>
      </w:r>
      <w:r>
        <w:rPr>
          <w:rFonts w:ascii="Arial" w:cs="Arial" w:eastAsia="Arial" w:hAnsi="Arial"/>
          <w:sz w:val="18"/>
          <w:szCs w:val="18"/>
          <w:color w:val="auto"/>
        </w:rPr>
        <w:t>” shall have the meaning set forth in Section 4.09(b)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shall have the meaning set forth in Section 4.09(b)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Investors</w:t>
      </w:r>
      <w:r>
        <w:rPr>
          <w:rFonts w:ascii="Arial" w:cs="Arial" w:eastAsia="Arial" w:hAnsi="Arial"/>
          <w:sz w:val="18"/>
          <w:szCs w:val="18"/>
          <w:color w:val="auto"/>
        </w:rPr>
        <w:t>” shall have the meaning set forth in Section 10.01(a)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External Investor</w:t>
      </w:r>
      <w:r>
        <w:rPr>
          <w:rFonts w:ascii="Arial" w:cs="Arial" w:eastAsia="Arial" w:hAnsi="Arial"/>
          <w:sz w:val="18"/>
          <w:szCs w:val="18"/>
          <w:color w:val="auto"/>
        </w:rPr>
        <w:t>” shall have the meaning set forth in Section 10.02(b)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Parties</w:t>
      </w:r>
      <w:r>
        <w:rPr>
          <w:rFonts w:ascii="Arial" w:cs="Arial" w:eastAsia="Arial" w:hAnsi="Arial"/>
          <w:sz w:val="18"/>
          <w:szCs w:val="18"/>
          <w:color w:val="auto"/>
        </w:rPr>
        <w:t>” shall have the meaning set forth in Section 7.08 hereof.</w:t>
      </w:r>
    </w:p>
    <w:p>
      <w:pPr>
        <w:sectPr>
          <w:pgSz w:w="11900" w:h="16838" w:orient="portrait"/>
          <w:cols w:equalWidth="0" w:num="1">
            <w:col w:w="10900"/>
          </w:cols>
          <w:pgMar w:left="440" w:top="274" w:right="55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Fiscal Quarter</w:t>
      </w:r>
      <w:r>
        <w:rPr>
          <w:rFonts w:ascii="Arial" w:cs="Arial" w:eastAsia="Arial" w:hAnsi="Arial"/>
          <w:sz w:val="18"/>
          <w:szCs w:val="18"/>
          <w:color w:val="auto"/>
        </w:rPr>
        <w:t>” shall mean any calendar quarter, unless the General Partner shall elect another fiscal quarter.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shall have the meaning set forth in Section 8.01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 Withdrawal</w:t>
      </w:r>
      <w:r>
        <w:rPr>
          <w:rFonts w:ascii="Arial" w:cs="Arial" w:eastAsia="Arial" w:hAnsi="Arial"/>
          <w:sz w:val="18"/>
          <w:szCs w:val="18"/>
          <w:color w:val="auto"/>
        </w:rPr>
        <w:t>” shall have the meaning set forth in Section 6.01(b).</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shall have the meaning set in the introductory paragraph of this Agreement. If at any time the Partnership has more than one general partner, the term General Partner shall be interpreted to mean General Partners.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ICA</w:t>
      </w:r>
      <w:r>
        <w:rPr>
          <w:rFonts w:ascii="Arial" w:cs="Arial" w:eastAsia="Arial" w:hAnsi="Arial"/>
          <w:sz w:val="18"/>
          <w:szCs w:val="18"/>
          <w:color w:val="auto"/>
        </w:rPr>
        <w:t>” shall have the meaning set forth in Section 4.09(c)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Losses</w:t>
      </w:r>
      <w:r>
        <w:rPr>
          <w:rFonts w:ascii="Arial" w:cs="Arial" w:eastAsia="Arial" w:hAnsi="Arial"/>
          <w:sz w:val="18"/>
          <w:szCs w:val="18"/>
          <w:color w:val="auto"/>
        </w:rPr>
        <w:t>” shall have the meaning set forth in Section 3.07(a) hereof.</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mean the General Partner, the Investment Manager, the Strategic Investor, their respective Affiliates, or any of their respective partners, members, directors, officers and employees or any of the respective legal representatives (</w:t>
      </w:r>
      <w:r>
        <w:rPr>
          <w:rFonts w:ascii="Arial" w:cs="Arial" w:eastAsia="Arial" w:hAnsi="Arial"/>
          <w:sz w:val="18"/>
          <w:szCs w:val="18"/>
          <w:i w:val="1"/>
          <w:iCs w:val="1"/>
          <w:color w:val="auto"/>
        </w:rPr>
        <w:t>e.g</w:t>
      </w:r>
      <w:r>
        <w:rPr>
          <w:rFonts w:ascii="Arial" w:cs="Arial" w:eastAsia="Arial" w:hAnsi="Arial"/>
          <w:sz w:val="18"/>
          <w:szCs w:val="18"/>
          <w:color w:val="auto"/>
        </w:rPr>
        <w:t>., executors, guardians and trustees) or agents of any of them, or Persons formerly serving in such capacities.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Capital Contribution</w:t>
      </w:r>
      <w:r>
        <w:rPr>
          <w:rFonts w:ascii="Arial" w:cs="Arial" w:eastAsia="Arial" w:hAnsi="Arial"/>
          <w:sz w:val="18"/>
          <w:szCs w:val="18"/>
          <w:color w:val="auto"/>
        </w:rPr>
        <w:t>” shall have the meaning set forth in Section 4.01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Quarterly Withdrawal Date</w:t>
      </w:r>
      <w:r>
        <w:rPr>
          <w:rFonts w:ascii="Arial" w:cs="Arial" w:eastAsia="Arial" w:hAnsi="Arial"/>
          <w:sz w:val="18"/>
          <w:szCs w:val="18"/>
          <w:color w:val="auto"/>
        </w:rPr>
        <w:t>” shall have the meaning set forth in Section 6.01(b) hereof.</w:t>
      </w:r>
    </w:p>
    <w:p>
      <w:pPr>
        <w:spacing w:after="0" w:line="225"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Invested Capital</w:t>
      </w:r>
      <w:r>
        <w:rPr>
          <w:rFonts w:ascii="Arial" w:cs="Arial" w:eastAsia="Arial" w:hAnsi="Arial"/>
          <w:sz w:val="17"/>
          <w:szCs w:val="17"/>
          <w:color w:val="auto"/>
        </w:rPr>
        <w:t>” of the Investor Limited Partner as of a given date shall mean an amount equal to the aggregate Capital Contributions of the Investor Limited Partner to the Partnership through such date less the amount of any withdrawals or distributions from the Partnership that constitute a withdrawal of contributed capital as opposed to a withdrawal or distribution of profits through such date.</w:t>
      </w:r>
    </w:p>
    <w:p>
      <w:pPr>
        <w:spacing w:after="0" w:line="16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Management Agreement</w:t>
      </w:r>
      <w:r>
        <w:rPr>
          <w:rFonts w:ascii="Arial" w:cs="Arial" w:eastAsia="Arial" w:hAnsi="Arial"/>
          <w:sz w:val="18"/>
          <w:szCs w:val="18"/>
          <w:color w:val="auto"/>
        </w:rPr>
        <w:t>” shall mean the investment management agreement, dated as of the date hereof, by and between the Partnership and the Investment Manager, as amended, restated, modified or supplemented from time to time.</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Manager</w:t>
      </w:r>
      <w:r>
        <w:rPr>
          <w:rFonts w:ascii="Arial" w:cs="Arial" w:eastAsia="Arial" w:hAnsi="Arial"/>
          <w:sz w:val="18"/>
          <w:szCs w:val="18"/>
          <w:color w:val="auto"/>
        </w:rPr>
        <w:t>” shall mean Sarissa Capital Management LP, a Delaware limited partnership, or any other Persons selected by the General Partner to provide certain management and administrative services to the Partnership.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Limited Partner</w:t>
      </w:r>
      <w:r>
        <w:rPr>
          <w:rFonts w:ascii="Arial" w:cs="Arial" w:eastAsia="Arial" w:hAnsi="Arial"/>
          <w:sz w:val="18"/>
          <w:szCs w:val="18"/>
          <w:color w:val="auto"/>
        </w:rPr>
        <w:t>” shall have the meaning set forth on the signature page hereto.</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Man Event</w:t>
      </w:r>
      <w:r>
        <w:rPr>
          <w:rFonts w:ascii="Arial" w:cs="Arial" w:eastAsia="Arial" w:hAnsi="Arial"/>
          <w:sz w:val="18"/>
          <w:szCs w:val="18"/>
          <w:color w:val="auto"/>
        </w:rPr>
        <w:t>” shall mean Alexander Denner ceases to be the Chief Investment Officer of the Investment Manager or to otherwise oversee the investment activities of the Partnership for a period of ninety (90) consecutive calendar days.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Man Event Notice</w:t>
      </w:r>
      <w:r>
        <w:rPr>
          <w:rFonts w:ascii="Arial" w:cs="Arial" w:eastAsia="Arial" w:hAnsi="Arial"/>
          <w:sz w:val="18"/>
          <w:szCs w:val="18"/>
          <w:color w:val="auto"/>
        </w:rPr>
        <w:t>” shall have the meaning set forth in Section 6.02(b) hereof.</w:t>
      </w:r>
    </w:p>
    <w:p>
      <w:pPr>
        <w:sectPr>
          <w:pgSz w:w="11900" w:h="16838" w:orient="portrait"/>
          <w:cols w:equalWidth="0" w:num="1">
            <w:col w:w="10920"/>
          </w:cols>
          <w:pgMar w:left="440" w:top="274" w:right="539" w:bottom="1440" w:gutter="0" w:footer="0" w:header="0"/>
        </w:sectPr>
      </w:pPr>
    </w:p>
    <w:bookmarkStart w:id="26" w:name="page27"/>
    <w:bookmarkEnd w:id="2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Limited Partner</w:t>
      </w:r>
      <w:r>
        <w:rPr>
          <w:rFonts w:ascii="Arial" w:cs="Arial" w:eastAsia="Arial" w:hAnsi="Arial"/>
          <w:sz w:val="18"/>
          <w:szCs w:val="18"/>
          <w:color w:val="auto"/>
        </w:rPr>
        <w:t>” shall have the meaning set forth in the introductory paragraph of this Agreement.</w:t>
      </w:r>
    </w:p>
    <w:p>
      <w:pPr>
        <w:spacing w:after="0" w:line="225"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shall mean, with respect to each Capital Contribution, the period ending on the first month-end that immediately follows, or falls on the day immediately preceding, the 36-month anniversary of the date of such Capital Contribution.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 Allocation</w:t>
      </w:r>
      <w:r>
        <w:rPr>
          <w:rFonts w:ascii="Arial" w:cs="Arial" w:eastAsia="Arial" w:hAnsi="Arial"/>
          <w:sz w:val="18"/>
          <w:szCs w:val="18"/>
          <w:color w:val="auto"/>
        </w:rPr>
        <w:t>” shall have the meaning set forth in Section 4.06(b) hereof.</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 Recovery Account</w:t>
      </w:r>
      <w:r>
        <w:rPr>
          <w:rFonts w:ascii="Arial" w:cs="Arial" w:eastAsia="Arial" w:hAnsi="Arial"/>
          <w:sz w:val="18"/>
          <w:szCs w:val="18"/>
          <w:color w:val="auto"/>
        </w:rPr>
        <w:t>” shall have the meaning set forth in Section 4.06(e) hereof.</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Fee</w:t>
      </w:r>
      <w:r>
        <w:rPr>
          <w:rFonts w:ascii="Arial" w:cs="Arial" w:eastAsia="Arial" w:hAnsi="Arial"/>
          <w:sz w:val="18"/>
          <w:szCs w:val="18"/>
          <w:color w:val="auto"/>
        </w:rPr>
        <w:t>” shall have the meaning set forth in Section 3.08(a) hereof.</w:t>
      </w:r>
    </w:p>
    <w:p>
      <w:pPr>
        <w:spacing w:after="0" w:line="225" w:lineRule="exact"/>
        <w:rPr>
          <w:sz w:val="20"/>
          <w:szCs w:val="20"/>
          <w:color w:val="auto"/>
        </w:rPr>
      </w:pPr>
    </w:p>
    <w:p>
      <w:pPr>
        <w:ind w:left="4" w:right="2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Value</w:t>
      </w:r>
      <w:r>
        <w:rPr>
          <w:rFonts w:ascii="Arial" w:cs="Arial" w:eastAsia="Arial" w:hAnsi="Arial"/>
          <w:sz w:val="18"/>
          <w:szCs w:val="18"/>
          <w:color w:val="auto"/>
        </w:rPr>
        <w:t>” means, as of any date of determination, the total value, as determined by the Administrator in accordance with the Valuation Policy, of all Securities and any other assets (excluding all cash and cash equivalents) of the Partnership, including net unrealized appreciation or depreciation of Securities and accrued interest and dividends receivable, in each case determined in accordance with the Investment Manager’s Valuation Policy, net of withholding taxes, less an amount equal to all accrued liabilities and obligations of the Partnership, including reasonable reserves for contingencies of the Partnership permitted herein.</w:t>
      </w:r>
    </w:p>
    <w:p>
      <w:pPr>
        <w:spacing w:after="0" w:line="188"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Losses</w:t>
      </w:r>
      <w:r>
        <w:rPr>
          <w:rFonts w:ascii="Arial" w:cs="Arial" w:eastAsia="Arial" w:hAnsi="Arial"/>
          <w:sz w:val="18"/>
          <w:szCs w:val="18"/>
          <w:color w:val="auto"/>
        </w:rPr>
        <w:t xml:space="preserve">” shall, with respect to any Accounting Period, mean the </w:t>
      </w:r>
      <w:r>
        <w:rPr>
          <w:rFonts w:ascii="Arial" w:cs="Arial" w:eastAsia="Arial" w:hAnsi="Arial"/>
          <w:sz w:val="18"/>
          <w:szCs w:val="18"/>
          <w:u w:val="single" w:color="auto"/>
          <w:color w:val="auto"/>
        </w:rPr>
        <w:t>excess</w:t>
      </w:r>
      <w:r>
        <w:rPr>
          <w:rFonts w:ascii="Arial" w:cs="Arial" w:eastAsia="Arial" w:hAnsi="Arial"/>
          <w:sz w:val="18"/>
          <w:szCs w:val="18"/>
          <w:color w:val="auto"/>
        </w:rPr>
        <w:t xml:space="preserve">, if any, of (i) the sum of Securities Losses and Net Operating Losses,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(ii) the sum of Securities Gains and Net Operating Profits for such Accounting Period.</w:t>
      </w:r>
    </w:p>
    <w:p>
      <w:pPr>
        <w:spacing w:after="0" w:line="170" w:lineRule="exact"/>
        <w:rPr>
          <w:sz w:val="20"/>
          <w:szCs w:val="20"/>
          <w:color w:val="auto"/>
        </w:rPr>
      </w:pPr>
    </w:p>
    <w:p>
      <w:pPr>
        <w:ind w:left="4" w:right="2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Operating Losses</w:t>
      </w:r>
      <w:r>
        <w:rPr>
          <w:rFonts w:ascii="Arial" w:cs="Arial" w:eastAsia="Arial" w:hAnsi="Arial"/>
          <w:sz w:val="17"/>
          <w:szCs w:val="17"/>
          <w:color w:val="auto"/>
        </w:rPr>
        <w:t>” shall, with respect to any Accounting Period, mean the excess, if any, of (A) all expenses paid (without duplication for accruals from prior periods) or accrued during such Accounting Period, including, but not limited to, the Management Fee and the amount of Asset-Based Special Interest Allocations incurred during such Accounting Period by the Partnership (other than expenses incurred in the sale or purchase of Securities) over (B) the aggregate income (including amounts paid to the Partnership in accordance with Section 3.08(b)) earned during such Accounting Period by the Partnership other than from the sale or purchase of Securities.</w:t>
      </w:r>
    </w:p>
    <w:p>
      <w:pPr>
        <w:spacing w:after="0" w:line="176"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Operating Profits</w:t>
      </w:r>
      <w:r>
        <w:rPr>
          <w:rFonts w:ascii="Arial" w:cs="Arial" w:eastAsia="Arial" w:hAnsi="Arial"/>
          <w:sz w:val="16"/>
          <w:szCs w:val="16"/>
          <w:color w:val="auto"/>
        </w:rPr>
        <w:t>” shall, with respect to any Accounting Period, mean the excess, if any, of (A) the aggregate income (including amounts paid to the Partnership in accordance with Section 3.08(b)) earned during such Accounting Period other than from the sale or purchase of Securities over</w:t>
      </w:r>
    </w:p>
    <w:p>
      <w:pPr>
        <w:ind w:left="4" w:right="160" w:hanging="4"/>
        <w:spacing w:after="0" w:line="255" w:lineRule="auto"/>
        <w:tabs>
          <w:tab w:leader="none" w:pos="2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expenses paid (without duplication for accruals from prior periods) or accrued during such Accounting Period, including, but not limited to, the Management Fee and the amount of Asset-Based Special Interest Allocations incurred during such Accounting Period by the Partnership (other than expenses incurred in the sale or purchase of Securities).</w:t>
      </w:r>
    </w:p>
    <w:p>
      <w:pPr>
        <w:spacing w:after="0" w:line="190"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Profits</w:t>
      </w:r>
      <w:r>
        <w:rPr>
          <w:rFonts w:ascii="Arial" w:cs="Arial" w:eastAsia="Arial" w:hAnsi="Arial"/>
          <w:sz w:val="18"/>
          <w:szCs w:val="18"/>
          <w:color w:val="auto"/>
        </w:rPr>
        <w:t xml:space="preserve">” shall, with respect to any Accounting Period, mean the </w:t>
      </w:r>
      <w:r>
        <w:rPr>
          <w:rFonts w:ascii="Arial" w:cs="Arial" w:eastAsia="Arial" w:hAnsi="Arial"/>
          <w:sz w:val="18"/>
          <w:szCs w:val="18"/>
          <w:u w:val="single" w:color="auto"/>
          <w:color w:val="auto"/>
        </w:rPr>
        <w:t>excess</w:t>
      </w:r>
      <w:r>
        <w:rPr>
          <w:rFonts w:ascii="Arial" w:cs="Arial" w:eastAsia="Arial" w:hAnsi="Arial"/>
          <w:sz w:val="18"/>
          <w:szCs w:val="18"/>
          <w:color w:val="auto"/>
        </w:rPr>
        <w:t xml:space="preserve">, if any, of (i) the sum of Securities Gains and Net Operating Profits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(ii) the sum of Securities Losses and Net Operating Losses, for such Accounting Period.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Non-Covered Losses</w:t>
      </w:r>
      <w:r>
        <w:rPr>
          <w:rFonts w:ascii="Arial" w:cs="Arial" w:eastAsia="Arial" w:hAnsi="Arial"/>
          <w:sz w:val="18"/>
          <w:szCs w:val="18"/>
          <w:color w:val="auto"/>
        </w:rPr>
        <w:t>” shall have the meaning set forth in Section 3.07(b) hereof.</w:t>
      </w:r>
    </w:p>
    <w:p>
      <w:pPr>
        <w:sectPr>
          <w:pgSz w:w="11900" w:h="16838" w:orient="portrait"/>
          <w:cols w:equalWidth="0" w:num="1">
            <w:col w:w="11004"/>
          </w:cols>
          <w:pgMar w:left="436" w:top="274" w:right="45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OFAC</w:t>
      </w:r>
      <w:r>
        <w:rPr>
          <w:rFonts w:ascii="Arial" w:cs="Arial" w:eastAsia="Arial" w:hAnsi="Arial"/>
          <w:sz w:val="18"/>
          <w:szCs w:val="18"/>
          <w:color w:val="auto"/>
        </w:rPr>
        <w:t>” shall mean the U.S. Treasury Department’s Office of Foreign Assets Control.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Opening Capital Balance</w:t>
      </w:r>
      <w:r>
        <w:rPr>
          <w:rFonts w:ascii="Arial" w:cs="Arial" w:eastAsia="Arial" w:hAnsi="Arial"/>
          <w:sz w:val="18"/>
          <w:szCs w:val="18"/>
          <w:color w:val="auto"/>
        </w:rPr>
        <w:t>” shall have the meaning set forth in Sections 4.04(a)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Expense Cap</w:t>
      </w:r>
      <w:r>
        <w:rPr>
          <w:rFonts w:ascii="Arial" w:cs="Arial" w:eastAsia="Arial" w:hAnsi="Arial"/>
          <w:sz w:val="18"/>
          <w:szCs w:val="18"/>
          <w:color w:val="auto"/>
        </w:rPr>
        <w:t>” shall have the meaning set forth in Section 3.03(c)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Limited Partner</w:t>
      </w:r>
      <w:r>
        <w:rPr>
          <w:rFonts w:ascii="Arial" w:cs="Arial" w:eastAsia="Arial" w:hAnsi="Arial"/>
          <w:sz w:val="18"/>
          <w:szCs w:val="18"/>
          <w:color w:val="auto"/>
        </w:rPr>
        <w:t>” shall have the meaning set forth in the recitals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Agreement</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Account</w:t>
      </w:r>
      <w:r>
        <w:rPr>
          <w:rFonts w:ascii="Arial" w:cs="Arial" w:eastAsia="Arial" w:hAnsi="Arial"/>
          <w:sz w:val="18"/>
          <w:szCs w:val="18"/>
          <w:color w:val="auto"/>
        </w:rPr>
        <w:t>” shall have the meaning set forth in Section 10.01(a)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Agreement</w:t>
      </w:r>
      <w:r>
        <w:rPr>
          <w:rFonts w:ascii="Arial" w:cs="Arial" w:eastAsia="Arial" w:hAnsi="Arial"/>
          <w:sz w:val="18"/>
          <w:szCs w:val="18"/>
          <w:color w:val="auto"/>
        </w:rPr>
        <w:t>” shall have the meaning set forth in Section 10.01(a)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Investor</w:t>
      </w:r>
      <w:r>
        <w:rPr>
          <w:rFonts w:ascii="Arial" w:cs="Arial" w:eastAsia="Arial" w:hAnsi="Arial"/>
          <w:sz w:val="18"/>
          <w:szCs w:val="18"/>
          <w:color w:val="auto"/>
        </w:rPr>
        <w:t>” shall have the meaning set forth in Section 10.01(a) hereof.</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Parallel Account</w:t>
      </w:r>
      <w:r>
        <w:rPr>
          <w:rFonts w:ascii="Arial" w:cs="Arial" w:eastAsia="Arial" w:hAnsi="Arial"/>
          <w:sz w:val="18"/>
          <w:szCs w:val="18"/>
          <w:color w:val="auto"/>
        </w:rPr>
        <w:t>” shall mean any other account, trust or entity (including the Sarissa Funds) that is directly or indirectly advised or managed by the Investment Manager or any of its Affiliates pursuant to an investment strategy similar to that of the Partnership.</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w:t>
      </w:r>
      <w:r>
        <w:rPr>
          <w:rFonts w:ascii="Arial" w:cs="Arial" w:eastAsia="Arial" w:hAnsi="Arial"/>
          <w:sz w:val="18"/>
          <w:szCs w:val="18"/>
          <w:color w:val="auto"/>
        </w:rPr>
        <w:t>” shall mean collectively the General Partner and the Limited Partners and, unless the context otherwise requires, a “</w:t>
      </w:r>
      <w:r>
        <w:rPr>
          <w:rFonts w:ascii="Arial" w:cs="Arial" w:eastAsia="Arial" w:hAnsi="Arial"/>
          <w:sz w:val="18"/>
          <w:szCs w:val="18"/>
          <w:u w:val="single" w:color="auto"/>
          <w:color w:val="auto"/>
        </w:rPr>
        <w:t>Partner</w:t>
      </w:r>
      <w:r>
        <w:rPr>
          <w:rFonts w:ascii="Arial" w:cs="Arial" w:eastAsia="Arial" w:hAnsi="Arial"/>
          <w:sz w:val="18"/>
          <w:szCs w:val="18"/>
          <w:color w:val="auto"/>
        </w:rPr>
        <w:t>” may mean any General Partner or Limited Partner.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shall have the meaning set forth in the introductory paragraph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 shall have the meaning set forth in Section 8.06(a)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Allocation</w:t>
      </w:r>
      <w:r>
        <w:rPr>
          <w:rFonts w:ascii="Arial" w:cs="Arial" w:eastAsia="Arial" w:hAnsi="Arial"/>
          <w:sz w:val="18"/>
          <w:szCs w:val="18"/>
          <w:color w:val="auto"/>
        </w:rPr>
        <w:t>” shall have the meaning set forth in Section 4.06(a)(ii)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Special Allocation</w:t>
      </w:r>
      <w:r>
        <w:rPr>
          <w:rFonts w:ascii="Arial" w:cs="Arial" w:eastAsia="Arial" w:hAnsi="Arial"/>
          <w:sz w:val="18"/>
          <w:szCs w:val="18"/>
          <w:color w:val="auto"/>
        </w:rPr>
        <w:t>” shall have the meaning set forth in Section 4.06(a)(ii)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Special Allocation Interest</w:t>
      </w:r>
      <w:r>
        <w:rPr>
          <w:rFonts w:ascii="Arial" w:cs="Arial" w:eastAsia="Arial" w:hAnsi="Arial"/>
          <w:sz w:val="18"/>
          <w:szCs w:val="18"/>
          <w:color w:val="auto"/>
        </w:rPr>
        <w:t>” shall have the meaning set forth in Section 1.09.</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or entity including, without limitation, a corporate entity, and the heirs, executors, administrators, successors and assigns of such Person where the context so admits; and, unless the context otherwise requires, the singular shall include the plural and the masculine gender shall include the feminine and neuter genders, and vice-versa.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Profit Allocation</w:t>
      </w:r>
      <w:r>
        <w:rPr>
          <w:rFonts w:ascii="Arial" w:cs="Arial" w:eastAsia="Arial" w:hAnsi="Arial"/>
          <w:sz w:val="18"/>
          <w:szCs w:val="18"/>
          <w:color w:val="auto"/>
        </w:rPr>
        <w:t>” shall have the meaning set forth in Section 4.06(a)(i)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xml:space="preserve">” means the rate of interest most recently published by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as the “prime rate” at large U.S. money center banks.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w:t>
      </w:r>
      <w:r>
        <w:rPr>
          <w:rFonts w:ascii="Arial" w:cs="Arial" w:eastAsia="Arial" w:hAnsi="Arial"/>
          <w:sz w:val="18"/>
          <w:szCs w:val="18"/>
          <w:color w:val="auto"/>
        </w:rPr>
        <w:t>” shall mean Alexander Denner.</w:t>
      </w:r>
    </w:p>
    <w:p>
      <w:pPr>
        <w:sectPr>
          <w:pgSz w:w="11900" w:h="16838" w:orient="portrait"/>
          <w:cols w:equalWidth="0" w:num="1">
            <w:col w:w="10880"/>
          </w:cols>
          <w:pgMar w:left="440" w:top="274" w:right="579" w:bottom="1440" w:gutter="0" w:footer="0" w:header="0"/>
        </w:sectPr>
      </w:pPr>
    </w:p>
    <w:bookmarkStart w:id="28" w:name="page29"/>
    <w:bookmarkEnd w:id="28"/>
    <w:p>
      <w:pPr>
        <w:jc w:val="both"/>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Proceeding</w:t>
      </w:r>
      <w:r>
        <w:rPr>
          <w:rFonts w:ascii="Arial" w:cs="Arial" w:eastAsia="Arial" w:hAnsi="Arial"/>
          <w:sz w:val="18"/>
          <w:szCs w:val="18"/>
          <w:color w:val="auto"/>
        </w:rPr>
        <w:t>” shall mean any claim, demand, action, suit or proceeding (civil, criminal, administrative or investigative, which includes formal and informal inquiries and “sweep” examinations (whether cooperation with such inquiries is voluntary or mandatory), in connection with the Partnership’s activities), actual or threatened, in which an Indemnified Party may be involved, as a party or otherwise.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w:t>
      </w:r>
      <w:r>
        <w:rPr>
          <w:rFonts w:ascii="Arial" w:cs="Arial" w:eastAsia="Arial" w:hAnsi="Arial"/>
          <w:sz w:val="18"/>
          <w:szCs w:val="18"/>
          <w:color w:val="auto"/>
        </w:rPr>
        <w:t>” shall have the meaning set forth in Section 9.03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shall have the meaning set forth in Section 7.05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Sarissa Funds</w:t>
      </w:r>
      <w:r>
        <w:rPr>
          <w:rFonts w:ascii="Arial" w:cs="Arial" w:eastAsia="Arial" w:hAnsi="Arial"/>
          <w:sz w:val="18"/>
          <w:szCs w:val="18"/>
          <w:color w:val="auto"/>
        </w:rPr>
        <w:t>” shall mean Sarissa Capital Domestic Fund LP and Sarissa Capital Offshore Master Fund LP.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shall have the meaning set forth in Section 3.02(a) hereof.</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Gains</w:t>
      </w:r>
      <w:r>
        <w:rPr>
          <w:rFonts w:ascii="Arial" w:cs="Arial" w:eastAsia="Arial" w:hAnsi="Arial"/>
          <w:sz w:val="18"/>
          <w:szCs w:val="18"/>
          <w:color w:val="auto"/>
        </w:rPr>
        <w:t>” shall, with respect to any Accounting Period, mean the aggregate realized and unrealized increase during such Accounting Period in the value of Securities held by the Partnership as determined pursuant to Section 4.07 hereof.</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Losses</w:t>
      </w:r>
      <w:r>
        <w:rPr>
          <w:rFonts w:ascii="Arial" w:cs="Arial" w:eastAsia="Arial" w:hAnsi="Arial"/>
          <w:sz w:val="18"/>
          <w:szCs w:val="18"/>
          <w:color w:val="auto"/>
        </w:rPr>
        <w:t>” shall, with respect to any Accounting Period, mean the aggregate realized and unrealized decrease during such Accounting Period in the value of Securities held by the Partnership as determined pursuant to Section 4.07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Allocation Interest</w:t>
      </w:r>
      <w:r>
        <w:rPr>
          <w:rFonts w:ascii="Arial" w:cs="Arial" w:eastAsia="Arial" w:hAnsi="Arial"/>
          <w:sz w:val="18"/>
          <w:szCs w:val="18"/>
          <w:color w:val="auto"/>
        </w:rPr>
        <w:t>” shall have the meaning set forth in Section 1.09.</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Withdrawal Rights</w:t>
      </w:r>
      <w:r>
        <w:rPr>
          <w:rFonts w:ascii="Arial" w:cs="Arial" w:eastAsia="Arial" w:hAnsi="Arial"/>
          <w:sz w:val="18"/>
          <w:szCs w:val="18"/>
          <w:color w:val="auto"/>
        </w:rPr>
        <w:t>” means any of the following: (i) waiver of all or a portion of any required prior notice period for a withdrawal or (ii) establishment of additional permitted Withdrawal Dates.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Strategic Advisory Agreement</w:t>
      </w:r>
      <w:r>
        <w:rPr>
          <w:rFonts w:ascii="Arial" w:cs="Arial" w:eastAsia="Arial" w:hAnsi="Arial"/>
          <w:sz w:val="18"/>
          <w:szCs w:val="18"/>
          <w:color w:val="auto"/>
        </w:rPr>
        <w:t>” shall mean the strategic advisory agreement, dated as of the date hereof, by and between the Investment Manager and the Investor Limited Partner, as amended, restated, modified or supplemented from time to time.</w:t>
      </w:r>
    </w:p>
    <w:p>
      <w:pPr>
        <w:spacing w:after="0" w:line="170"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Strategic Investor</w:t>
      </w:r>
      <w:r>
        <w:rPr>
          <w:rFonts w:ascii="Arial" w:cs="Arial" w:eastAsia="Arial" w:hAnsi="Arial"/>
          <w:sz w:val="16"/>
          <w:szCs w:val="16"/>
          <w:color w:val="auto"/>
        </w:rPr>
        <w:t>” shall mean any Person or Persons admitted to the Partnership as a Strategic Investor Limited Partner (and for the avoidance of doubt such term, while used in the singular herein, may therefore represent more than one Person) as identified on the signature page hereto.</w:t>
      </w:r>
    </w:p>
    <w:p>
      <w:pPr>
        <w:spacing w:after="0" w:line="12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Strategic Investor Agreement</w:t>
      </w:r>
      <w:r>
        <w:rPr>
          <w:rFonts w:ascii="Arial" w:cs="Arial" w:eastAsia="Arial" w:hAnsi="Arial"/>
          <w:sz w:val="18"/>
          <w:szCs w:val="18"/>
          <w:color w:val="auto"/>
        </w:rPr>
        <w:t>” shall mean the agreement pursuant to which the Strategic Investor is entitled to its allocations with respect to the advisory clients of the Investment Manager, as such agreement may be amended from time to time, including by any acknowledgement agreement entered into in connection with the Strategic Investor’s participation in the Partnership.</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Allocation Policy</w:t>
      </w:r>
      <w:r>
        <w:rPr>
          <w:rFonts w:ascii="Arial" w:cs="Arial" w:eastAsia="Arial" w:hAnsi="Arial"/>
          <w:sz w:val="18"/>
          <w:szCs w:val="18"/>
          <w:color w:val="auto"/>
        </w:rPr>
        <w:t>” shall mean the Investment Manager’s trade allocation policy and procedures, as in effect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Transactional Fee</w:t>
      </w:r>
      <w:r>
        <w:rPr>
          <w:rFonts w:ascii="Arial" w:cs="Arial" w:eastAsia="Arial" w:hAnsi="Arial"/>
          <w:sz w:val="18"/>
          <w:szCs w:val="18"/>
          <w:color w:val="auto"/>
        </w:rPr>
        <w:t>” shall have the meaning set forth in Section 3.08(a) hereof.</w:t>
      </w:r>
    </w:p>
    <w:p>
      <w:pPr>
        <w:sectPr>
          <w:pgSz w:w="11900" w:h="16838" w:orient="portrait"/>
          <w:cols w:equalWidth="0" w:num="1">
            <w:col w:w="10980"/>
          </w:cols>
          <w:pgMar w:left="440" w:top="274" w:right="479" w:bottom="1440" w:gutter="0" w:footer="0" w:header="0"/>
        </w:sectPr>
      </w:pPr>
    </w:p>
    <w:bookmarkStart w:id="29" w:name="page30"/>
    <w:bookmarkEnd w:id="2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Transaction Fee Income</w:t>
      </w:r>
      <w:r>
        <w:rPr>
          <w:rFonts w:ascii="Arial" w:cs="Arial" w:eastAsia="Arial" w:hAnsi="Arial"/>
          <w:sz w:val="18"/>
          <w:szCs w:val="18"/>
          <w:color w:val="auto"/>
        </w:rPr>
        <w:t>” shall have the meaning set forth in Section 3.08(b).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shall have the meaning set forth in Section 7.01 hereof.</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Policy</w:t>
      </w:r>
      <w:r>
        <w:rPr>
          <w:rFonts w:ascii="Arial" w:cs="Arial" w:eastAsia="Arial" w:hAnsi="Arial"/>
          <w:sz w:val="18"/>
          <w:szCs w:val="18"/>
          <w:color w:val="auto"/>
        </w:rPr>
        <w:t>” shall mean the Investment Manager’s valuation policy and procedures, as in effect from time to time.</w:t>
      </w:r>
    </w:p>
    <w:p>
      <w:pPr>
        <w:spacing w:after="0" w:line="225"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Date</w:t>
      </w:r>
      <w:r>
        <w:rPr>
          <w:rFonts w:ascii="Arial" w:cs="Arial" w:eastAsia="Arial" w:hAnsi="Arial"/>
          <w:sz w:val="18"/>
          <w:szCs w:val="18"/>
          <w:color w:val="auto"/>
        </w:rPr>
        <w:t>” shall mean the Initial Quarterly Withdrawal Date, each 12-month anniversary thereafter and such other Withdrawal Date as may be designated by the General Partner pursuant to this Agreement.</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Payment Date</w:t>
      </w:r>
      <w:r>
        <w:rPr>
          <w:rFonts w:ascii="Arial" w:cs="Arial" w:eastAsia="Arial" w:hAnsi="Arial"/>
          <w:sz w:val="18"/>
          <w:szCs w:val="18"/>
          <w:color w:val="auto"/>
        </w:rPr>
        <w:t>” shall mean each quarterly date following the Initial Quarterly Withdrawal Date as of which the relevant portion of the withdrawal request is effective.</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3.</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Management of the Partnership</w:t>
      </w:r>
    </w:p>
    <w:p>
      <w:pPr>
        <w:spacing w:after="0" w:line="225"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Management</w:t>
      </w:r>
      <w:r>
        <w:rPr>
          <w:rFonts w:ascii="Arial" w:cs="Arial" w:eastAsia="Arial" w:hAnsi="Arial"/>
          <w:sz w:val="18"/>
          <w:szCs w:val="18"/>
          <w:color w:val="auto"/>
        </w:rPr>
        <w:t>. The management and control of the Partnership shall be vested in the General Partner, subject to the consent requirements with respect to the Investor Limited Partner as expressly provided herein. The Limited Partners, in their capacities as such, shall not take part in the management or control of the Partnership, transact any business in the Partnership’s name or have the power to sign documents for or otherwise bind the Partnership.</w:t>
      </w:r>
    </w:p>
    <w:p>
      <w:pPr>
        <w:spacing w:after="0" w:line="187" w:lineRule="exact"/>
        <w:rPr>
          <w:sz w:val="20"/>
          <w:szCs w:val="20"/>
          <w:color w:val="auto"/>
        </w:rPr>
      </w:pPr>
    </w:p>
    <w:p>
      <w:pPr>
        <w:ind w:left="4" w:right="60" w:firstLine="440"/>
        <w:spacing w:after="0" w:line="283"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Authority of the General Partner</w:t>
      </w:r>
      <w:r>
        <w:rPr>
          <w:rFonts w:ascii="Arial" w:cs="Arial" w:eastAsia="Arial" w:hAnsi="Arial"/>
          <w:sz w:val="16"/>
          <w:szCs w:val="16"/>
          <w:color w:val="auto"/>
        </w:rPr>
        <w:t>. (a) The General Partner shall have full discretion and authority to manage the investment and trading of the Partnership. Subject to Sections 1.09 and 3.02(b), in furtherance of Section 1.05, the General Partner shall have full power and authority to carry out the following with respect to the Partnership: (i) to purchase, acquire, hold, invest, reinvest, sell or otherwise dispose of “</w:t>
      </w:r>
      <w:r>
        <w:rPr>
          <w:rFonts w:ascii="Arial" w:cs="Arial" w:eastAsia="Arial" w:hAnsi="Arial"/>
          <w:sz w:val="16"/>
          <w:szCs w:val="16"/>
          <w:u w:val="single" w:color="auto"/>
          <w:color w:val="auto"/>
        </w:rPr>
        <w:t>Securities</w:t>
      </w:r>
      <w:r>
        <w:rPr>
          <w:rFonts w:ascii="Arial" w:cs="Arial" w:eastAsia="Arial" w:hAnsi="Arial"/>
          <w:sz w:val="16"/>
          <w:szCs w:val="16"/>
          <w:color w:val="auto"/>
        </w:rPr>
        <w:t>” (as that term is defined in the U.S.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xml:space="preserve">”)), debt instruments, futures (including stock index futures), interest rates, stock market indices, commodities, currencies (through trading in the cash, spot, forward and futures markets); and derivative financial instruments of any sort which exist now or are hereafter created; to purchase and write options; and to borrow funds from banks, brokers or other lenders and to pledge the Partnership’s assets as collateral therefor; </w:t>
      </w:r>
      <w:r>
        <w:rPr>
          <w:rFonts w:ascii="Arial" w:cs="Arial" w:eastAsia="Arial" w:hAnsi="Arial"/>
          <w:sz w:val="16"/>
          <w:szCs w:val="16"/>
          <w:i w:val="1"/>
          <w:iCs w:val="1"/>
          <w:color w:val="auto"/>
        </w:rPr>
        <w:t>provided</w:t>
      </w:r>
      <w:r>
        <w:rPr>
          <w:rFonts w:ascii="Arial" w:cs="Arial" w:eastAsia="Arial" w:hAnsi="Arial"/>
          <w:sz w:val="16"/>
          <w:szCs w:val="16"/>
          <w:color w:val="auto"/>
        </w:rPr>
        <w:t>, that notwithstanding the foregoing and anything set forth in this Agreement to the contrary, the assets of the Partnership are intended to be invested in “long-only” Securities and derivative financial instruments thereof, investments in which are intended to achieve “long” exposure to Securities, and the General Partner is prohibited, and is not granted the authority hereunder, to make short-sales;</w:t>
      </w:r>
    </w:p>
    <w:p>
      <w:pPr>
        <w:spacing w:after="0" w:line="6" w:lineRule="exact"/>
        <w:rPr>
          <w:sz w:val="20"/>
          <w:szCs w:val="20"/>
          <w:color w:val="auto"/>
        </w:rPr>
      </w:pPr>
    </w:p>
    <w:p>
      <w:pPr>
        <w:ind w:left="4" w:right="120" w:hanging="4"/>
        <w:spacing w:after="0" w:line="281" w:lineRule="auto"/>
        <w:tabs>
          <w:tab w:leader="none" w:pos="269"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 to its obligations to seek best execution, to make all decisions relating to the manner, method and timing of investment transactions, and to select among brokers and other counterparties for the execution, clearance and settlement of any transactions; (iii) to direct custodians to deliver Partnership assets for the purpose of effecting transactions on a delivery-versus-payment basis; (iv) to exercise or abstain from exercising any privilege or right (including voting and consent rights) attaching to the Partnership’s assets, or to direct custodians with respect to any such privilege or right;</w:t>
      </w:r>
    </w:p>
    <w:p>
      <w:pPr>
        <w:spacing w:after="0" w:line="2" w:lineRule="exact"/>
        <w:rPr>
          <w:rFonts w:ascii="Arial" w:cs="Arial" w:eastAsia="Arial" w:hAnsi="Arial"/>
          <w:sz w:val="16"/>
          <w:szCs w:val="16"/>
          <w:color w:val="auto"/>
        </w:rPr>
      </w:pPr>
    </w:p>
    <w:p>
      <w:pPr>
        <w:ind w:left="4" w:right="360" w:hanging="4"/>
        <w:spacing w:after="0" w:line="290" w:lineRule="auto"/>
        <w:tabs>
          <w:tab w:leader="none" w:pos="259"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to enter into other agreements with the Investor Limited Partner containing such terms and conditions as determined by the General Partner with respect to such Partner’s interest in the Partnership; </w:t>
      </w:r>
      <w:r>
        <w:rPr>
          <w:rFonts w:ascii="Arial" w:cs="Arial" w:eastAsia="Arial" w:hAnsi="Arial"/>
          <w:sz w:val="17"/>
          <w:szCs w:val="17"/>
          <w:i w:val="1"/>
          <w:iCs w:val="1"/>
          <w:color w:val="auto"/>
        </w:rPr>
        <w:t>provided</w:t>
      </w:r>
      <w:r>
        <w:rPr>
          <w:rFonts w:ascii="Arial" w:cs="Arial" w:eastAsia="Arial" w:hAnsi="Arial"/>
          <w:sz w:val="17"/>
          <w:szCs w:val="17"/>
          <w:color w:val="auto"/>
        </w:rPr>
        <w:t>, that no such other agreement adversely affects any</w:t>
      </w:r>
    </w:p>
    <w:p>
      <w:pPr>
        <w:sectPr>
          <w:pgSz w:w="11900" w:h="16838" w:orient="portrait"/>
          <w:cols w:equalWidth="0" w:num="1">
            <w:col w:w="11004"/>
          </w:cols>
          <w:pgMar w:left="436" w:top="274" w:right="459" w:bottom="1440" w:gutter="0" w:footer="0" w:header="0"/>
        </w:sectPr>
      </w:pPr>
    </w:p>
    <w:bookmarkStart w:id="30" w:name="page31"/>
    <w:bookmarkEnd w:id="30"/>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other Limited Partner or the Partnership without the prior written consent of such other Limited Partner; (vi) to enter into other agreements with the Strategic Investor containing such terms and conditions as determined by the General Partner with respect to such Partner’s interest in the Partnership, provided that any amendment to this Agreement shall be made only in accordance with Section 10.03; (vii) to retain the Investment Manager for certain management and administrative services pursuant to the Investment Management Agreement, amend the Investment Management Agreement and cause the Partnership to compensate the Investment Manager for such services in accordance with Section 3.08;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management, control and conduct of the activities of the Partnership shall remain the responsibility of the General Partner; and (viii) to make and execute, in the name and on behalf of the Partnership, all such documents and to take all such other actions which the General Partner considers necessary or advisable to carry out its duties hereunder. Proxies shall be voted at the General Partner’s discretion in a manner consistent with the best interest of the Partnership; </w:t>
      </w:r>
      <w:r>
        <w:rPr>
          <w:rFonts w:ascii="Arial" w:cs="Arial" w:eastAsia="Arial" w:hAnsi="Arial"/>
          <w:sz w:val="16"/>
          <w:szCs w:val="16"/>
          <w:i w:val="1"/>
          <w:iCs w:val="1"/>
          <w:color w:val="auto"/>
        </w:rPr>
        <w:t>provided</w:t>
      </w:r>
      <w:r>
        <w:rPr>
          <w:rFonts w:ascii="Arial" w:cs="Arial" w:eastAsia="Arial" w:hAnsi="Arial"/>
          <w:sz w:val="16"/>
          <w:szCs w:val="16"/>
          <w:color w:val="auto"/>
        </w:rPr>
        <w:t>, that the General Partner may refrain from voting a proxy in accordance with its proxy voting policy.</w:t>
      </w:r>
    </w:p>
    <w:p>
      <w:pPr>
        <w:spacing w:after="0" w:line="166" w:lineRule="exact"/>
        <w:rPr>
          <w:sz w:val="20"/>
          <w:szCs w:val="20"/>
          <w:color w:val="auto"/>
        </w:rPr>
      </w:pPr>
    </w:p>
    <w:p>
      <w:pPr>
        <w:ind w:right="20" w:firstLine="436"/>
        <w:spacing w:after="0" w:line="277" w:lineRule="auto"/>
        <w:tabs>
          <w:tab w:leader="none" w:pos="8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Without the prior written consent of the Investor Limited Partner (which may be given with respect to specific transactions or generic classes of transactions), the General Partner shall not cause the Partnership to:</w:t>
      </w:r>
    </w:p>
    <w:p>
      <w:pPr>
        <w:spacing w:after="0" w:line="62" w:lineRule="exact"/>
        <w:rPr>
          <w:rFonts w:ascii="Arial" w:cs="Arial" w:eastAsia="Arial" w:hAnsi="Arial"/>
          <w:sz w:val="18"/>
          <w:szCs w:val="18"/>
          <w:color w:val="auto"/>
        </w:rPr>
      </w:pPr>
    </w:p>
    <w:p>
      <w:pPr>
        <w:ind w:left="440" w:firstLine="419"/>
        <w:spacing w:after="0" w:line="254" w:lineRule="auto"/>
        <w:tabs>
          <w:tab w:leader="none" w:pos="1213" w:val="left"/>
        </w:tabs>
        <w:numPr>
          <w:ilvl w:val="1"/>
          <w:numId w:val="30"/>
        </w:numPr>
        <w:rPr>
          <w:rFonts w:ascii="Arial" w:cs="Arial" w:eastAsia="Arial" w:hAnsi="Arial"/>
          <w:sz w:val="18"/>
          <w:szCs w:val="18"/>
          <w:color w:val="auto"/>
        </w:rPr>
      </w:pPr>
      <w:r>
        <w:rPr>
          <w:rFonts w:ascii="Arial" w:cs="Arial" w:eastAsia="Arial" w:hAnsi="Arial"/>
          <w:sz w:val="18"/>
          <w:szCs w:val="18"/>
          <w:color w:val="auto"/>
        </w:rPr>
        <w:t>enter into or otherwise participate in any borrowing, leverage or other credit arrangements with respect to the assets of the Partnership, except as necessary: (x) to effect Securities transactions on a delivery-versus-payment basis; (y) to effect Securities transactions and other investments entered into on the basis of credit extended by prime brokers for the limited purpose of achieving “long” economic exposure to publicly-traded Securities and privately-traded Securities (provided, however, that such borrowing is not for the purpose of short-selling such Securities), and (z) in connection with effectuating any withdrawals pursuant to this Agreement, provided that no such leverage causes the Partnership’s gross exposure to exceed 250%. In normal circumstances, the General Partner intends to manage the Partnership with gross exposure less than 150%.</w:t>
      </w:r>
    </w:p>
    <w:p>
      <w:pPr>
        <w:spacing w:after="0" w:line="86" w:lineRule="exact"/>
        <w:rPr>
          <w:rFonts w:ascii="Arial" w:cs="Arial" w:eastAsia="Arial" w:hAnsi="Arial"/>
          <w:sz w:val="18"/>
          <w:szCs w:val="18"/>
          <w:color w:val="auto"/>
        </w:rPr>
      </w:pPr>
    </w:p>
    <w:p>
      <w:pPr>
        <w:ind w:left="440" w:right="100" w:firstLine="419"/>
        <w:spacing w:after="0" w:line="277" w:lineRule="auto"/>
        <w:tabs>
          <w:tab w:leader="none" w:pos="12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invest in Securities issued by, or otherwise underlying, a single issuer such that the investment exceeds 20% of the Net Asset Value of the Partnership, as measured at the time of acquisition of such Securities;</w:t>
      </w:r>
    </w:p>
    <w:p>
      <w:pPr>
        <w:spacing w:after="0" w:line="62" w:lineRule="exact"/>
        <w:rPr>
          <w:rFonts w:ascii="Arial" w:cs="Arial" w:eastAsia="Arial" w:hAnsi="Arial"/>
          <w:sz w:val="18"/>
          <w:szCs w:val="18"/>
          <w:color w:val="auto"/>
        </w:rPr>
      </w:pPr>
    </w:p>
    <w:p>
      <w:pPr>
        <w:jc w:val="both"/>
        <w:ind w:left="440" w:right="180" w:firstLine="419"/>
        <w:spacing w:after="0" w:line="259" w:lineRule="auto"/>
        <w:tabs>
          <w:tab w:leader="none" w:pos="1313"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make or give any indemnity, guarantee, warranty or other contractual commitment that is not provided in the ordinary course of the Partnership’s business (it being understood that ordinary course business transactions include with respect to the Partnership’s service providers, prime brokers, trading counterparties and in connection with the settlement of trades and customary warranties as to ownership of the Partnership’s assets and such other arrangements as specified in Section 1.09(d);</w:t>
      </w:r>
    </w:p>
    <w:p>
      <w:pPr>
        <w:spacing w:after="0" w:line="78" w:lineRule="exact"/>
        <w:rPr>
          <w:rFonts w:ascii="Arial" w:cs="Arial" w:eastAsia="Arial" w:hAnsi="Arial"/>
          <w:sz w:val="18"/>
          <w:szCs w:val="18"/>
          <w:color w:val="auto"/>
        </w:rPr>
      </w:pPr>
    </w:p>
    <w:p>
      <w:pPr>
        <w:ind w:left="440" w:right="20" w:firstLine="419"/>
        <w:spacing w:after="0" w:line="279" w:lineRule="auto"/>
        <w:tabs>
          <w:tab w:leader="none" w:pos="1303" w:val="left"/>
        </w:tabs>
        <w:numPr>
          <w:ilvl w:val="1"/>
          <w:numId w:val="30"/>
        </w:numPr>
        <w:rPr>
          <w:rFonts w:ascii="Arial" w:cs="Arial" w:eastAsia="Arial" w:hAnsi="Arial"/>
          <w:sz w:val="17"/>
          <w:szCs w:val="17"/>
          <w:color w:val="auto"/>
        </w:rPr>
      </w:pPr>
      <w:r>
        <w:rPr>
          <w:rFonts w:ascii="Arial" w:cs="Arial" w:eastAsia="Arial" w:hAnsi="Arial"/>
          <w:sz w:val="17"/>
          <w:szCs w:val="17"/>
          <w:color w:val="auto"/>
        </w:rPr>
        <w:t>acquire or borrow any asset from, or transfer or lend any asset to, the General Partner, any Affiliate of the General Partner or any other account controlled by the General Partner or an Affiliate, provided that this restriction shall not apply to any issuer that is an Affiliate of the General Partner or the Partnership solely by virtue of (x) the aggregate ownership interest in such issuer by the Partnership, the Sarissa Funds or any Parallel Account or (y) membership on the board of directors of such issuer by one or more</w:t>
      </w:r>
    </w:p>
    <w:p>
      <w:pPr>
        <w:sectPr>
          <w:pgSz w:w="11900" w:h="16838" w:orient="portrait"/>
          <w:cols w:equalWidth="0" w:num="1">
            <w:col w:w="11000"/>
          </w:cols>
          <w:pgMar w:left="440" w:top="274" w:right="459" w:bottom="1440" w:gutter="0" w:footer="0" w:header="0"/>
        </w:sectPr>
      </w:pPr>
    </w:p>
    <w:bookmarkStart w:id="31" w:name="page32"/>
    <w:bookmarkEnd w:id="31"/>
    <w:p>
      <w:pPr>
        <w:ind w:left="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representatives of the Partnership, the Sarissa Funds or the General Partner in connection with the ownership interests described in the preceding clause (x) or to any Co-Invest or rebalancing transactions that are not principal transactions;</w:t>
      </w:r>
    </w:p>
    <w:p>
      <w:pPr>
        <w:spacing w:after="0" w:line="62" w:lineRule="exact"/>
        <w:rPr>
          <w:sz w:val="20"/>
          <w:szCs w:val="20"/>
          <w:color w:val="auto"/>
        </w:rPr>
      </w:pPr>
    </w:p>
    <w:p>
      <w:pPr>
        <w:ind w:left="4" w:right="20" w:firstLine="419"/>
        <w:spacing w:after="0" w:line="272" w:lineRule="auto"/>
        <w:tabs>
          <w:tab w:leader="none" w:pos="816"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engage in any transaction in which the General Partner or any Affiliate has any direct or indirect financial interest, whether as principal or agent (other than a non-controlling investment in the Securities); </w:t>
      </w:r>
      <w:r>
        <w:rPr>
          <w:rFonts w:ascii="Arial" w:cs="Arial" w:eastAsia="Arial" w:hAnsi="Arial"/>
          <w:sz w:val="17"/>
          <w:szCs w:val="17"/>
          <w:i w:val="1"/>
          <w:iCs w:val="1"/>
          <w:color w:val="auto"/>
        </w:rPr>
        <w:t>provided</w:t>
      </w:r>
      <w:r>
        <w:rPr>
          <w:rFonts w:ascii="Arial" w:cs="Arial" w:eastAsia="Arial" w:hAnsi="Arial"/>
          <w:sz w:val="17"/>
          <w:szCs w:val="17"/>
          <w:color w:val="auto"/>
        </w:rPr>
        <w:t>, that this restriction shall not preclude the Partnership from investing in any issuer in which a Sarissa Fund or any Parallel Account also invests or for which the General Partner or any of its principals or employees serves on the board of directors; and provided, further, that this restriction shall not apply to any issuer that is an Affiliate of the General Partner or the Partnership solely by virtue of (x) the aggregate ownership interest in such issuer by the Partnership, the Sarissa Funds or any Parallel Account or (y) membership on the board of directors of such issuer by one or more representatives of the Partnership, the Sarissa Funds or the General Partner in connection with the ownership interests described in the preceding clause (x);</w:t>
      </w:r>
    </w:p>
    <w:p>
      <w:pPr>
        <w:spacing w:after="0" w:line="69" w:lineRule="exact"/>
        <w:rPr>
          <w:rFonts w:ascii="Arial" w:cs="Arial" w:eastAsia="Arial" w:hAnsi="Arial"/>
          <w:sz w:val="17"/>
          <w:szCs w:val="17"/>
          <w:color w:val="auto"/>
        </w:rPr>
      </w:pPr>
    </w:p>
    <w:p>
      <w:pPr>
        <w:jc w:val="both"/>
        <w:ind w:left="4" w:right="440" w:firstLine="419"/>
        <w:spacing w:after="0" w:line="263" w:lineRule="auto"/>
        <w:tabs>
          <w:tab w:leader="none" w:pos="866" w:val="left"/>
        </w:tabs>
        <w:numPr>
          <w:ilvl w:val="1"/>
          <w:numId w:val="31"/>
        </w:numPr>
        <w:rPr>
          <w:rFonts w:ascii="Arial" w:cs="Arial" w:eastAsia="Arial" w:hAnsi="Arial"/>
          <w:sz w:val="18"/>
          <w:szCs w:val="18"/>
          <w:color w:val="auto"/>
        </w:rPr>
      </w:pPr>
      <w:r>
        <w:rPr>
          <w:rFonts w:ascii="Arial" w:cs="Arial" w:eastAsia="Arial" w:hAnsi="Arial"/>
          <w:sz w:val="18"/>
          <w:szCs w:val="18"/>
          <w:color w:val="auto"/>
        </w:rPr>
        <w:t>authorize to cause or permit the Partnership to (A) invest in any fund-of-funds, blind pool vehicle, private equity fund or similar structure, (B) other entity treated as “transparent” or “disregarded” for tax purposes or master limited partnerships (MLPs), or (C) any entity, structure, agreement or arrangement that would charge a management or performance fee;</w:t>
      </w:r>
    </w:p>
    <w:p>
      <w:pPr>
        <w:spacing w:after="0" w:line="75" w:lineRule="exact"/>
        <w:rPr>
          <w:rFonts w:ascii="Arial" w:cs="Arial" w:eastAsia="Arial" w:hAnsi="Arial"/>
          <w:sz w:val="18"/>
          <w:szCs w:val="18"/>
          <w:color w:val="auto"/>
        </w:rPr>
      </w:pPr>
    </w:p>
    <w:p>
      <w:pPr>
        <w:ind w:left="904" w:hanging="481"/>
        <w:spacing w:after="0"/>
        <w:tabs>
          <w:tab w:leader="none" w:pos="904" w:val="left"/>
        </w:tabs>
        <w:numPr>
          <w:ilvl w:val="1"/>
          <w:numId w:val="31"/>
        </w:numPr>
        <w:rPr>
          <w:rFonts w:ascii="Arial" w:cs="Arial" w:eastAsia="Arial" w:hAnsi="Arial"/>
          <w:sz w:val="16"/>
          <w:szCs w:val="16"/>
          <w:color w:val="auto"/>
        </w:rPr>
      </w:pPr>
      <w:r>
        <w:rPr>
          <w:rFonts w:ascii="Arial" w:cs="Arial" w:eastAsia="Arial" w:hAnsi="Arial"/>
          <w:sz w:val="16"/>
          <w:szCs w:val="16"/>
          <w:color w:val="auto"/>
        </w:rPr>
        <w:t>be treated other than as a partnership for U.S. income tax purposes (excluding as a publicly traded partnership under Section 7704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10" w:lineRule="exact"/>
        <w:rPr>
          <w:rFonts w:ascii="Arial" w:cs="Arial" w:eastAsia="Arial" w:hAnsi="Arial"/>
          <w:sz w:val="16"/>
          <w:szCs w:val="16"/>
          <w:color w:val="auto"/>
        </w:rPr>
      </w:pPr>
    </w:p>
    <w:p>
      <w:pPr>
        <w:ind w:left="-436" w:right="300" w:firstLine="436"/>
        <w:spacing w:after="0" w:line="277"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General Partner represents, warrants and covenants, on behalf of itself and/or the Investment Manager (as applicable), to the Limited Partners that:</w:t>
      </w:r>
    </w:p>
    <w:p>
      <w:pPr>
        <w:spacing w:after="0" w:line="62" w:lineRule="exact"/>
        <w:rPr>
          <w:rFonts w:ascii="Arial" w:cs="Arial" w:eastAsia="Arial" w:hAnsi="Arial"/>
          <w:sz w:val="18"/>
          <w:szCs w:val="18"/>
          <w:color w:val="auto"/>
        </w:rPr>
      </w:pPr>
    </w:p>
    <w:p>
      <w:pPr>
        <w:ind w:left="4" w:right="380" w:firstLine="419"/>
        <w:spacing w:after="0" w:line="263" w:lineRule="auto"/>
        <w:tabs>
          <w:tab w:leader="none" w:pos="776"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of the General Partner and the Investment Manager has and will maintain all necessary governmental and regulatory licenses, approvals and/or exemptions to provide the services contemplated herein and such memberships in self-regulatory organizations as may be required by law;</w:t>
      </w:r>
    </w:p>
    <w:p>
      <w:pPr>
        <w:spacing w:after="0" w:line="75" w:lineRule="exact"/>
        <w:rPr>
          <w:rFonts w:ascii="Arial" w:cs="Arial" w:eastAsia="Arial" w:hAnsi="Arial"/>
          <w:sz w:val="18"/>
          <w:szCs w:val="18"/>
          <w:color w:val="auto"/>
        </w:rPr>
      </w:pPr>
    </w:p>
    <w:p>
      <w:pPr>
        <w:ind w:left="4" w:firstLine="419"/>
        <w:spacing w:after="0" w:line="255" w:lineRule="auto"/>
        <w:tabs>
          <w:tab w:leader="none" w:pos="826" w:val="left"/>
        </w:tabs>
        <w:numPr>
          <w:ilvl w:val="1"/>
          <w:numId w:val="32"/>
        </w:numPr>
        <w:rPr>
          <w:rFonts w:ascii="Arial" w:cs="Arial" w:eastAsia="Arial" w:hAnsi="Arial"/>
          <w:sz w:val="18"/>
          <w:szCs w:val="18"/>
          <w:color w:val="auto"/>
        </w:rPr>
      </w:pPr>
      <w:r>
        <w:rPr>
          <w:rFonts w:ascii="Arial" w:cs="Arial" w:eastAsia="Arial" w:hAnsi="Arial"/>
          <w:sz w:val="18"/>
          <w:szCs w:val="18"/>
          <w:color w:val="auto"/>
        </w:rPr>
        <w:t>neither the General Partner, the Investment Manager, nor to their knowledge any of their respective employees is, or has ever been, a party to (i) any proceeding (including an arrest, complaint, indictment or information) brought by a governmental agency, regulatory authority or self-regulatory organization or (ii) any litigation or arbitration brought by any third person, that (in the case of clause (i) or (ii)) alleges the General Partner, the Investment Manager, or such person is or was (x) acting in a manner that constitutes fraud or a breach of fiduciary duty, (y) failing to act where action would have been required to avoid fraud or a breach of fiduciary duty and/or (z) committing a felony or material securities or commodities regulation violation;</w:t>
      </w:r>
    </w:p>
    <w:p>
      <w:pPr>
        <w:spacing w:after="0" w:line="84" w:lineRule="exact"/>
        <w:rPr>
          <w:rFonts w:ascii="Arial" w:cs="Arial" w:eastAsia="Arial" w:hAnsi="Arial"/>
          <w:sz w:val="18"/>
          <w:szCs w:val="18"/>
          <w:color w:val="auto"/>
        </w:rPr>
      </w:pPr>
    </w:p>
    <w:p>
      <w:pPr>
        <w:ind w:left="4" w:right="200" w:firstLine="419"/>
        <w:spacing w:after="0" w:line="277" w:lineRule="auto"/>
        <w:tabs>
          <w:tab w:leader="none" w:pos="876"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none of the General Partner, the Investment Manager, nor any of their respective officers, employees or agents has paid or agreed to pay any referral or solicitation fees to anyone in connection with this Agreement;</w:t>
      </w:r>
    </w:p>
    <w:p>
      <w:pPr>
        <w:sectPr>
          <w:pgSz w:w="11900" w:h="16838" w:orient="portrait"/>
          <w:cols w:equalWidth="0" w:num="1">
            <w:col w:w="10564"/>
          </w:cols>
          <w:pgMar w:left="876" w:top="274" w:right="459" w:bottom="1440" w:gutter="0" w:footer="0" w:header="0"/>
        </w:sectPr>
      </w:pPr>
    </w:p>
    <w:bookmarkStart w:id="32" w:name="page33"/>
    <w:bookmarkEnd w:id="32"/>
    <w:p>
      <w:pPr>
        <w:ind w:left="4" w:right="160" w:firstLine="419"/>
        <w:spacing w:after="0" w:line="286" w:lineRule="auto"/>
        <w:tabs>
          <w:tab w:leader="none" w:pos="866" w:val="left"/>
        </w:tabs>
        <w:numPr>
          <w:ilvl w:val="1"/>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Investment Manager shall at all times maintain general liability, D&amp;O, E&amp;O and litigation insurance providing for coverage in amounts at least as high as the coverage amounts provided for under the Investment Manager’s insurance policies in effect on the date hereof so long as the Investment Manager’s assets under management equal or exceed those as determined as of the date hereof;</w:t>
      </w:r>
    </w:p>
    <w:p>
      <w:pPr>
        <w:spacing w:after="0" w:line="57" w:lineRule="exact"/>
        <w:rPr>
          <w:rFonts w:ascii="Arial" w:cs="Arial" w:eastAsia="Arial" w:hAnsi="Arial"/>
          <w:sz w:val="17"/>
          <w:szCs w:val="17"/>
          <w:color w:val="auto"/>
        </w:rPr>
      </w:pPr>
    </w:p>
    <w:p>
      <w:pPr>
        <w:ind w:left="4" w:firstLine="419"/>
        <w:spacing w:after="0" w:line="263" w:lineRule="auto"/>
        <w:tabs>
          <w:tab w:leader="none" w:pos="816" w:val="left"/>
        </w:tabs>
        <w:numPr>
          <w:ilvl w:val="1"/>
          <w:numId w:val="33"/>
        </w:numPr>
        <w:rPr>
          <w:rFonts w:ascii="Arial" w:cs="Arial" w:eastAsia="Arial" w:hAnsi="Arial"/>
          <w:sz w:val="18"/>
          <w:szCs w:val="18"/>
          <w:color w:val="auto"/>
        </w:rPr>
      </w:pPr>
      <w:r>
        <w:rPr>
          <w:rFonts w:ascii="Arial" w:cs="Arial" w:eastAsia="Arial" w:hAnsi="Arial"/>
          <w:sz w:val="18"/>
          <w:szCs w:val="18"/>
          <w:color w:val="auto"/>
        </w:rPr>
        <w:t>prior to making any investment in a portfolio company and as part of its regular diligence process, the Investment Manager shall consider whether such portfolio company provides D&amp;O, E&amp;O and litigation insurance coverage for representatives of the General Partner and/or the Investment Manager who may serve on the board of directors of such portfolio company; and</w:t>
      </w:r>
    </w:p>
    <w:p>
      <w:pPr>
        <w:spacing w:after="0" w:line="75" w:lineRule="exact"/>
        <w:rPr>
          <w:rFonts w:ascii="Arial" w:cs="Arial" w:eastAsia="Arial" w:hAnsi="Arial"/>
          <w:sz w:val="18"/>
          <w:szCs w:val="18"/>
          <w:color w:val="auto"/>
        </w:rPr>
      </w:pPr>
    </w:p>
    <w:p>
      <w:pPr>
        <w:ind w:left="4" w:right="20" w:firstLine="419"/>
        <w:spacing w:after="0" w:line="308" w:lineRule="auto"/>
        <w:tabs>
          <w:tab w:leader="none" w:pos="866" w:val="left"/>
        </w:tabs>
        <w:numPr>
          <w:ilvl w:val="1"/>
          <w:numId w:val="33"/>
        </w:numPr>
        <w:rPr>
          <w:rFonts w:ascii="Arial" w:cs="Arial" w:eastAsia="Arial" w:hAnsi="Arial"/>
          <w:sz w:val="17"/>
          <w:szCs w:val="17"/>
          <w:color w:val="auto"/>
        </w:rPr>
      </w:pPr>
      <w:r>
        <w:rPr>
          <w:rFonts w:ascii="Arial" w:cs="Arial" w:eastAsia="Arial" w:hAnsi="Arial"/>
          <w:sz w:val="17"/>
          <w:szCs w:val="17"/>
          <w:color w:val="auto"/>
        </w:rPr>
        <w:t>none of the General Partner, the Investment Manager, or any of their respective Affiliates shall cause the Partnership to invest through any commingled vehicle, including the Sarissa Funds, in the interests of the Investor Limited Partner or any of its Affiliates.</w:t>
      </w:r>
    </w:p>
    <w:p>
      <w:pPr>
        <w:spacing w:after="0" w:line="146" w:lineRule="exact"/>
        <w:rPr>
          <w:rFonts w:ascii="Arial" w:cs="Arial" w:eastAsia="Arial" w:hAnsi="Arial"/>
          <w:sz w:val="17"/>
          <w:szCs w:val="17"/>
          <w:color w:val="auto"/>
        </w:rPr>
      </w:pPr>
    </w:p>
    <w:p>
      <w:pPr>
        <w:ind w:left="-436" w:right="200" w:firstLine="436"/>
        <w:spacing w:after="0" w:line="263" w:lineRule="auto"/>
        <w:tabs>
          <w:tab w:leader="none" w:pos="3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General Partner agrees to provide notice to the Limited Partners as soon as reasonably practicable in the event that any of the representations set forth in this Section 3.02(c) ceases to be true in any material respect and such change in circumstances is reasonably likely to have material adverse effect on the General Partner’s business and operations.</w:t>
      </w:r>
    </w:p>
    <w:p>
      <w:pPr>
        <w:spacing w:after="0" w:line="292" w:lineRule="exact"/>
        <w:rPr>
          <w:sz w:val="20"/>
          <w:szCs w:val="20"/>
          <w:color w:val="auto"/>
        </w:rPr>
      </w:pPr>
    </w:p>
    <w:p>
      <w:pPr>
        <w:ind w:left="4"/>
        <w:spacing w:after="0"/>
        <w:tabs>
          <w:tab w:leader="none" w:pos="523"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5"/>
          <w:szCs w:val="15"/>
          <w:u w:val="single" w:color="auto"/>
          <w:color w:val="auto"/>
        </w:rPr>
        <w:t>Payment of Costs and Expenses</w:t>
      </w:r>
      <w:r>
        <w:rPr>
          <w:rFonts w:ascii="Arial" w:cs="Arial" w:eastAsia="Arial" w:hAnsi="Arial"/>
          <w:sz w:val="15"/>
          <w:szCs w:val="15"/>
          <w:color w:val="auto"/>
        </w:rPr>
        <w:t>.</w:t>
      </w:r>
    </w:p>
    <w:p>
      <w:pPr>
        <w:spacing w:after="0" w:line="117" w:lineRule="exact"/>
        <w:rPr>
          <w:sz w:val="20"/>
          <w:szCs w:val="20"/>
          <w:color w:val="auto"/>
        </w:rPr>
      </w:pPr>
    </w:p>
    <w:p>
      <w:pPr>
        <w:ind w:left="-436" w:right="80" w:firstLine="436"/>
        <w:spacing w:after="0" w:line="279"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General Partner and/or the Investment Manager shall be responsible for the payment of certain “overhead” expenses of the Partnership, including office rent, utilities, furniture and fixtures, computer equipment and services (except as provided below), stationery, secretarial and administrative services, salaries, entertainment expenses, employee insurance and payroll taxes. In addition, any related overhead expenses that are not set forth in Section 3.03(b) shall be the responsibility of the General Partner and/or the Investment Manager.</w:t>
      </w:r>
    </w:p>
    <w:p>
      <w:pPr>
        <w:spacing w:after="0" w:line="171" w:lineRule="exact"/>
        <w:rPr>
          <w:rFonts w:ascii="Arial" w:cs="Arial" w:eastAsia="Arial" w:hAnsi="Arial"/>
          <w:sz w:val="17"/>
          <w:szCs w:val="17"/>
          <w:color w:val="auto"/>
        </w:rPr>
      </w:pPr>
    </w:p>
    <w:p>
      <w:pPr>
        <w:ind w:left="-436" w:right="80" w:firstLine="436"/>
        <w:spacing w:after="0" w:line="269" w:lineRule="auto"/>
        <w:tabs>
          <w:tab w:leader="none" w:pos="39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Partnership shall bear its own operating and other expenses. The Partnership’s direct and indirect expenses shall include, without limitation, the following expenses of the Partnership: investment and trading-related expenses of the Partnership (these are expenses directly related to the investment program and include, for instance, brokerage commissions, ticket charges, expenses related to short sales, clearing, and settlement charges, custodial fees, interest expenses, financing charges, initial and variation margin, broken deal expenses and other transactional charges, fees or costs, consulting, advisory, investment banking, valuation and any other professional fees or compensation relating to particular investments or contemplated investments, appraisal fees and expenses, investment-related travel and lodging expenses, and research-related expenses, including news and quotation equipment and services, market data services, fees to third-party providers of research, portfolio risk management services (including the costs of risk management software or database packages), market information systems and/or computer software and information expenses); costs relating to communications with Limited Partners; accounting, audit and tax preparation and compliance expenses (including preparation costs of financial statements, tax returns, reports to the Limited Partners); printing and mailing costs, fees of pricing services, valuation firms and financial modeling services; expenses relating</w:t>
      </w:r>
    </w:p>
    <w:p>
      <w:pPr>
        <w:sectPr>
          <w:pgSz w:w="11900" w:h="16838" w:orient="portrait"/>
          <w:cols w:equalWidth="0" w:num="1">
            <w:col w:w="10524"/>
          </w:cols>
          <w:pgMar w:left="876" w:top="274" w:right="499" w:bottom="1440" w:gutter="0" w:footer="0" w:header="0"/>
        </w:sectPr>
      </w:pPr>
    </w:p>
    <w:bookmarkStart w:id="33" w:name="page34"/>
    <w:bookmarkEnd w:id="3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activist campaigns, such as proxy contests, solicitations and tender offers (including the cost of drafting “white papers” and the compensation, indemnification and expenses of any nominees proposed by the Partnership or its Affiliates as directors or executives of portfolio companies and the costs of proxy agents and public relations firms engaged in connection with investments or prospective investments); legal and regulatory expenses (including those incurred in connection with the Partnership’s operations, holdings, investments and investment activities (</w:t>
      </w:r>
      <w:r>
        <w:rPr>
          <w:rFonts w:ascii="Arial" w:cs="Arial" w:eastAsia="Arial" w:hAnsi="Arial"/>
          <w:sz w:val="16"/>
          <w:szCs w:val="16"/>
          <w:i w:val="1"/>
          <w:iCs w:val="1"/>
          <w:color w:val="auto"/>
        </w:rPr>
        <w:t>e.g</w:t>
      </w:r>
      <w:r>
        <w:rPr>
          <w:rFonts w:ascii="Arial" w:cs="Arial" w:eastAsia="Arial" w:hAnsi="Arial"/>
          <w:sz w:val="16"/>
          <w:szCs w:val="16"/>
          <w:color w:val="auto"/>
        </w:rPr>
        <w:t>., filings with the Securities and Exchange Commission, including Form PF (but excluding the preparation of Form ADV)) and those incurred with respect to litigation and threatened litigation, if any, and expenses pertaining to legal inquiries, including regulatory “sweeps”); all expenses incurred in connection with any tax audit, investigation, settlement or review; any and all taxes and governmental fees payable by or with respect to the Partnership, its investments, or to federal, state or other governmental agencies, domestic or foreign, including real estate, stamp or other transfer taxes; wind-up and liquidation expenses; organizational expenses of the Partnership up to the Organizational Expense Cap; formation costs, fees and expenses borne directly by any vehicle through which assets of the Partnership may be invested; insurance costs (including premiums for directors’ and officers’ liability insurance (if any), errors and omissions insurance and other similar policies for the benefit of the Partnership); fees payable pursuant to Section 3.08; administrative expenses including those relating to the Partnership’s Administrator; expenses relating to the maintenance of registered offices; blue sky and corporate filing fees and expenses; corporate licensing expenses; indemnification expenses; fees and expenses relating to partner meetings and conferences; extraordinary expenses; and other similar expenses. Any “soft dollar” arrangement between the Partnership, the General Partner or the Investment Manager and any broker or dealer to the Partnership relating to commissions generated by the Partnership shall comport with Section 28(e) of the Securities Exchange Act of 1934 and Release No. 34-23170 promulgated thereunder. To the extent that any portion of the Partnership’s expenses are attributable to the Partnership’s operations and one or more other investment entities or accounts managed by the Investment Manager or any of its Affiliates, such expenses shall be allocated among the Partnership and those entities and accounts on an equitable basis, which, for the avoidance of doubt, will (i) prohibit the charging of expenses to the Partnership that do not reasonably benefit the Partnership and (ii) require allocation in a manner consistent with its fiduciary duties to the Partnership and other advisory clients. The General Partner will provide the Limited Partners with a reasonably detailed annual report (which, for the avoidance of doubt, may be included in the annual report to Limited Partners required in Section 8.03) accounting for any allocation of expenses among the Partnership and other accounts managed by the General Partner or any of its Affiliates.</w:t>
      </w:r>
    </w:p>
    <w:p>
      <w:pPr>
        <w:spacing w:after="0" w:line="178" w:lineRule="exact"/>
        <w:rPr>
          <w:sz w:val="20"/>
          <w:szCs w:val="20"/>
          <w:color w:val="auto"/>
        </w:rPr>
      </w:pPr>
    </w:p>
    <w:p>
      <w:pPr>
        <w:ind w:right="120" w:firstLine="436"/>
        <w:spacing w:after="0" w:line="257" w:lineRule="auto"/>
        <w:tabs>
          <w:tab w:leader="none" w:pos="8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Partnership will bear the costs of its organization, including reasonable out-of-pocket legal and accounting fees, federal and state filing fees, and other related expenses as well as the costs and expenses of the General Partner (but not, for the avoidance of doubt, those of any Strategic Investor) incurred in connection with the negotiation and adoption of this Agreement, up to a maximum of two hundred and fifty thousand U.S. dollars ($250,000) (the “</w:t>
      </w:r>
      <w:r>
        <w:rPr>
          <w:rFonts w:ascii="Arial" w:cs="Arial" w:eastAsia="Arial" w:hAnsi="Arial"/>
          <w:sz w:val="18"/>
          <w:szCs w:val="18"/>
          <w:u w:val="single" w:color="auto"/>
          <w:color w:val="auto"/>
        </w:rPr>
        <w:t>Organizational Expense Cap</w:t>
      </w:r>
      <w:r>
        <w:rPr>
          <w:rFonts w:ascii="Arial" w:cs="Arial" w:eastAsia="Arial" w:hAnsi="Arial"/>
          <w:sz w:val="18"/>
          <w:szCs w:val="18"/>
          <w:color w:val="auto"/>
        </w:rPr>
        <w:t>”). The Investor Limited Partner shall bear its own expenses in connection with the negotiation and adoption of this Agreement.</w:t>
      </w:r>
    </w:p>
    <w:p>
      <w:pPr>
        <w:spacing w:after="0" w:line="18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Reliance by Third Parties</w:t>
      </w:r>
      <w:r>
        <w:rPr>
          <w:rFonts w:ascii="Arial" w:cs="Arial" w:eastAsia="Arial" w:hAnsi="Arial"/>
          <w:sz w:val="18"/>
          <w:szCs w:val="18"/>
          <w:color w:val="auto"/>
        </w:rPr>
        <w:t>. Persons dealing with the Partnership are entitled to rely conclusively upon a certificate of the General Partner to the effect that the General Partner is then acting as the General Partner and upon the power and authority as set forth herein. Nothing herein contained shall impose any obligation on any brokerage firm, transfer agent, registrar, bank, lessor,</w:t>
      </w:r>
    </w:p>
    <w:p>
      <w:pPr>
        <w:sectPr>
          <w:pgSz w:w="11900" w:h="16838" w:orient="portrait"/>
          <w:cols w:equalWidth="0" w:num="1">
            <w:col w:w="10980"/>
          </w:cols>
          <w:pgMar w:left="440" w:top="274" w:right="479" w:bottom="1440" w:gutter="0" w:footer="0" w:header="0"/>
        </w:sectPr>
      </w:pPr>
    </w:p>
    <w:bookmarkStart w:id="34" w:name="page35"/>
    <w:bookmarkEnd w:id="3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lessee, mortgagee, grantee or other Person doing business with the Partnership to inquire as to whether or not written approval of the Limited Partner has been obtained, and any stock power, lease, mortgage, deed, contract or other instrument executed by the General Partner shall be valid, sufficient and binding.</w:t>
      </w:r>
    </w:p>
    <w:p>
      <w:pPr>
        <w:spacing w:after="0" w:line="29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u w:val="single" w:color="auto"/>
          <w:color w:val="auto"/>
        </w:rPr>
        <w:t>Other Activities; Acknowledgements</w:t>
      </w:r>
      <w:r>
        <w:rPr>
          <w:rFonts w:ascii="Arial" w:cs="Arial" w:eastAsia="Arial" w:hAnsi="Arial"/>
          <w:sz w:val="16"/>
          <w:szCs w:val="16"/>
          <w:color w:val="auto"/>
        </w:rPr>
        <w:t>.</w:t>
      </w:r>
    </w:p>
    <w:p>
      <w:pPr>
        <w:spacing w:after="0" w:line="117" w:lineRule="exact"/>
        <w:rPr>
          <w:sz w:val="20"/>
          <w:szCs w:val="20"/>
          <w:color w:val="auto"/>
        </w:rPr>
      </w:pPr>
    </w:p>
    <w:p>
      <w:pPr>
        <w:jc w:val="both"/>
        <w:ind w:right="160" w:firstLine="436"/>
        <w:spacing w:after="0" w:line="263" w:lineRule="auto"/>
        <w:tabs>
          <w:tab w:leader="none" w:pos="8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General Partner and its Affiliates shall devote such time to the Partnership’s affairs as is consistent with the Partnership’s achieving its investment objectives. Nothing herein shall restrict the ability of the General Partner, the Limited Partner or their respective Affiliates to engage in any transactions for their own accounts and for the accounts of other clients subject to Section 3.06.</w:t>
      </w:r>
    </w:p>
    <w:p>
      <w:pPr>
        <w:spacing w:after="0" w:line="183" w:lineRule="exact"/>
        <w:rPr>
          <w:rFonts w:ascii="Arial" w:cs="Arial" w:eastAsia="Arial" w:hAnsi="Arial"/>
          <w:sz w:val="18"/>
          <w:szCs w:val="18"/>
          <w:color w:val="auto"/>
        </w:rPr>
      </w:pPr>
    </w:p>
    <w:p>
      <w:pPr>
        <w:ind w:right="100" w:firstLine="436"/>
        <w:spacing w:after="0" w:line="257" w:lineRule="auto"/>
        <w:tabs>
          <w:tab w:leader="none" w:pos="82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General Partner acknowledges that this Agreement is not intended to establish, and shall not establish, an investment advisory relationship between any Limited Partner or its Affiliates, on the one hand, and, on the other hand, the General Partner, the Investment Manager, or any of their respective clients, that would result in any Limited Partner or its Affiliate meeting the definition of investment adviser in Section 202(a)(11) of the U.S. Investment Advisers Act of 1940, as amended (the “</w:t>
      </w:r>
      <w:r>
        <w:rPr>
          <w:rFonts w:ascii="Arial" w:cs="Arial" w:eastAsia="Arial" w:hAnsi="Arial"/>
          <w:sz w:val="18"/>
          <w:szCs w:val="18"/>
          <w:u w:val="single" w:color="auto"/>
          <w:color w:val="auto"/>
        </w:rPr>
        <w:t>Advisers Act</w:t>
      </w:r>
      <w:r>
        <w:rPr>
          <w:rFonts w:ascii="Arial" w:cs="Arial" w:eastAsia="Arial" w:hAnsi="Arial"/>
          <w:sz w:val="18"/>
          <w:szCs w:val="18"/>
          <w:color w:val="auto"/>
        </w:rPr>
        <w:t>”), with respect to the General Partner, the Investment Manager, or any of their respective clients.</w:t>
      </w:r>
    </w:p>
    <w:p>
      <w:pPr>
        <w:spacing w:after="0" w:line="187" w:lineRule="exact"/>
        <w:rPr>
          <w:rFonts w:ascii="Arial" w:cs="Arial" w:eastAsia="Arial" w:hAnsi="Arial"/>
          <w:sz w:val="18"/>
          <w:szCs w:val="18"/>
          <w:color w:val="auto"/>
        </w:rPr>
      </w:pPr>
    </w:p>
    <w:p>
      <w:pPr>
        <w:ind w:right="20" w:firstLine="436"/>
        <w:spacing w:after="0" w:line="287" w:lineRule="auto"/>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Every power vested in the General Partner pursuant to this Agreement and any decision, consent or determination that it is permitted to make is to be construed as a power to act (or not to act) in its sole and absolute discretion, except as otherwise expressly provided herein, and the General Partner shall be entitled to consider in making such decisions or determinations such interests and factors as it considers relevant, including its own interests. The General Partner may exercise its discretion differently with respect to different Limited Partners, provided that in making any such decision, the General Partner shall act in good faith. The requirement for the General Partner to act in “good faith” shall mean that the General Partner shall be required to act honestly in its dealings with respect to the powers which have been conferred in its capacity as general partner of the Partnership and shall not, to the fullest extent permitted by applicable law, be held to any higher standard. The provisions of this Agreement, to the extent that they restrict or eliminate the General Partner’s duties (including fiduciary duties) and liabilities existing at law or in equity are agreed by all the Partners to replace such other duties and liabilities and the General Partner shall not be liable to the Partnership or to any Partner for its good faith reliance on the provisions of this Agreement. No provision of this Agreement is to be construed to require the General Partner to violate the Delaware Act, or any other applicable law, regulation or rule of any governmental authority or any self-regulatory organization.</w:t>
      </w:r>
    </w:p>
    <w:p>
      <w:pPr>
        <w:spacing w:after="0" w:line="171" w:lineRule="exact"/>
        <w:rPr>
          <w:rFonts w:ascii="Arial" w:cs="Arial" w:eastAsia="Arial" w:hAnsi="Arial"/>
          <w:sz w:val="16"/>
          <w:szCs w:val="16"/>
          <w:color w:val="auto"/>
        </w:rPr>
      </w:pPr>
    </w:p>
    <w:p>
      <w:pPr>
        <w:ind w:right="120" w:firstLine="436"/>
        <w:spacing w:after="0" w:line="255" w:lineRule="auto"/>
        <w:tabs>
          <w:tab w:leader="none" w:pos="8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Limited Partner acknowledges and agrees that the Strategic Investor (i) has not made, and does not intend to make, any Capital Contribution to the Partnership (ii) will not have any interest in the Partnership other than its Asset-Based Special Allocation Interest and its Performance-Based Special Allocation Interest and (iii) except as otherwise set forth in Sections 6.05(d) or 8.06(c) or for obligations to return distributions under the Delaware Act, will not bear any fees or expenses in respect of the Partnership. In particular, each Limited Partner acknowledges that neither the Strategic Investor nor the Investor Limited Partner will provide investment advice to, or have any fiduciary duties with respect to, the Partnership.</w:t>
      </w:r>
    </w:p>
    <w:p>
      <w:pPr>
        <w:sectPr>
          <w:pgSz w:w="11900" w:h="16838" w:orient="portrait"/>
          <w:cols w:equalWidth="0" w:num="1">
            <w:col w:w="11000"/>
          </w:cols>
          <w:pgMar w:left="440" w:top="274" w:right="459" w:bottom="1440" w:gutter="0" w:footer="0" w:header="0"/>
        </w:sectPr>
      </w:pPr>
    </w:p>
    <w:bookmarkStart w:id="35" w:name="page36"/>
    <w:bookmarkEnd w:id="35"/>
    <w:p>
      <w:pPr>
        <w:ind w:right="8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3.06. </w:t>
      </w:r>
      <w:r>
        <w:rPr>
          <w:rFonts w:ascii="Arial" w:cs="Arial" w:eastAsia="Arial" w:hAnsi="Arial"/>
          <w:sz w:val="17"/>
          <w:szCs w:val="17"/>
          <w:u w:val="single" w:color="auto"/>
          <w:color w:val="auto"/>
        </w:rPr>
        <w:t>Allocation of Opportunities</w:t>
      </w:r>
      <w:r>
        <w:rPr>
          <w:rFonts w:ascii="Arial" w:cs="Arial" w:eastAsia="Arial" w:hAnsi="Arial"/>
          <w:sz w:val="17"/>
          <w:szCs w:val="17"/>
          <w:color w:val="auto"/>
        </w:rPr>
        <w:t>. (a) The Investment Manager will allocate investment opportunities among the Partnership (on the basis of its assets under management), the Sarissa Funds and any other account advised or sub-advised by the General Partner or any of its Affiliates with substantially the same investment strategy as that employed by the Partnership, including for the avoidance of doubt the Sarissa Funds in accordance with the Trade Allocation Policy which has been provided to the Investor Limited Partner prior to entering into this Agreement. The General Partner shall notify the Investor Limited Partner of any material amendments to its Trade Allocation Policy.</w:t>
      </w:r>
    </w:p>
    <w:p>
      <w:pPr>
        <w:spacing w:after="0" w:line="176" w:lineRule="exact"/>
        <w:rPr>
          <w:sz w:val="20"/>
          <w:szCs w:val="20"/>
          <w:color w:val="auto"/>
        </w:rPr>
      </w:pPr>
    </w:p>
    <w:p>
      <w:pPr>
        <w:ind w:firstLine="436"/>
        <w:spacing w:after="0" w:line="275" w:lineRule="auto"/>
        <w:tabs>
          <w:tab w:leader="none" w:pos="69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connection with exercise of the rights and authority granted herein, including, without limitation, Sections 3.02, 3.03 and 3.06 of this Agreement, the Investment Manager shall act in accordance with its relevant policies. As a fiduciary under the Advisers Act, none of the Investment Manager, the General Partner or any of their Affiliates will subordinate the economic interests of any of its advisory clients, including the Partnership, to itself or any of its other accounts, provided that any conflicts of interests shall be resolved in accordance with the Investment Manager’s policies which require the Investment Manager to act in good faith and resolve any conflicts in a manner that is fair and reasonable.</w:t>
      </w:r>
    </w:p>
    <w:p>
      <w:pPr>
        <w:spacing w:after="0" w:line="284"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6"/>
          <w:szCs w:val="16"/>
          <w:u w:val="single" w:color="auto"/>
          <w:color w:val="auto"/>
        </w:rPr>
        <w:t>Scope of Liabilities; Indemnification</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85" w:lineRule="auto"/>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 Indemnified Party shall be liable to the Partnership or to any Partner for any acts or omissions (or alleged acts or omissions) or any error of judgment or for any losses, liabilities, damages, indemnification obligations, expenses, or costs (including any judgment, award, settlement, reasonable legal and other professional fees and disbursements, and other costs or expenses incurred in connection with the defense of any Proceeding), arising out of or in connection with such Indemnified Party’s service to or on behalf of, or management of the affairs or assets of, the Partnership, or which relate to the Partnership (collectively, “</w:t>
      </w:r>
      <w:r>
        <w:rPr>
          <w:rFonts w:ascii="Arial" w:cs="Arial" w:eastAsia="Arial" w:hAnsi="Arial"/>
          <w:sz w:val="16"/>
          <w:szCs w:val="16"/>
          <w:u w:val="single" w:color="auto"/>
          <w:color w:val="auto"/>
        </w:rPr>
        <w:t>Indemnified Losses</w:t>
      </w:r>
      <w:r>
        <w:rPr>
          <w:rFonts w:ascii="Arial" w:cs="Arial" w:eastAsia="Arial" w:hAnsi="Arial"/>
          <w:sz w:val="16"/>
          <w:szCs w:val="16"/>
          <w:color w:val="auto"/>
        </w:rPr>
        <w:t xml:space="preserve">”) suffered, incurred, or sustained by the Partnership (or its Partners) in connection with any act or omission of such Indemnified Party taken or omitted to be taken, in connection with the Partnership or this Agreement, except for any Indemnified Losses arising out of, related to or in connection with any act or omission that is found by a court of competent jurisdiction to be directly attributable to willful misconduct, bad faith, fraud, or gross negligence of such Indemnified Party. In addition, no Indemnified Party shall be liable to the Partnership or any of its Partners for any Indemnified Losses arising out of, related to or in connection with any act or omission taken, or omitted to be taken, by any broker or agent of the Partnership if such broker or agent was selected, engaged, retained and monitored by such Indemnified Party directly or on behalf of the Partnership with due care and reasonable diligence and such act, omission taken or omission to be taken was not at the direction of the Indemnified Party. Any Indemnified Party may consult with counsel, accountants, investment bankers, financial advisors, appraisers and other specialized, reputable, professional consultants in respect of the affairs of the Partnership and be fully protected and justified in any action or inaction that is taken in accordance with the advice or opinion of such Persons; </w:t>
      </w:r>
      <w:r>
        <w:rPr>
          <w:rFonts w:ascii="Arial" w:cs="Arial" w:eastAsia="Arial" w:hAnsi="Arial"/>
          <w:sz w:val="16"/>
          <w:szCs w:val="16"/>
          <w:i w:val="1"/>
          <w:iCs w:val="1"/>
          <w:color w:val="auto"/>
        </w:rPr>
        <w:t>provided</w:t>
      </w:r>
      <w:r>
        <w:rPr>
          <w:rFonts w:ascii="Arial" w:cs="Arial" w:eastAsia="Arial" w:hAnsi="Arial"/>
          <w:sz w:val="16"/>
          <w:szCs w:val="16"/>
          <w:color w:val="auto"/>
        </w:rPr>
        <w:t>, that, (i) such Persons shall have been selected, engaged or retained for such purpose with due care and reasonable diligence; (ii) such Indemnified Party had, prior to receiving the advice on which such Indemnified Party relied, disclosed to such Persons all material facts reasonably required to advise the Indemnified Party with respect to such the matter in question and (iii) such Indemnified Party acted, in all material respects, in accordance with the advice provided by such Persons. Notwithstanding any of the foregoing to the contrary, the provisions of this Section 3.07(a) shall</w:t>
      </w:r>
    </w:p>
    <w:p>
      <w:pPr>
        <w:sectPr>
          <w:pgSz w:w="11900" w:h="16838" w:orient="portrait"/>
          <w:cols w:equalWidth="0" w:num="1">
            <w:col w:w="10980"/>
          </w:cols>
          <w:pgMar w:left="440" w:top="274" w:right="479" w:bottom="1440" w:gutter="0" w:footer="0" w:header="0"/>
        </w:sectPr>
      </w:pPr>
    </w:p>
    <w:bookmarkStart w:id="36" w:name="page37"/>
    <w:bookmarkEnd w:id="36"/>
    <w:p>
      <w:pPr>
        <w:jc w:val="both"/>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be construed so as to provide for the exculpation of an Indemnified Party for (x) any liability (including liability under U.S. federal securities laws which, under certain circumstances, impose liability even on Persons that act in good faith), to the extent (but only to the extent) that such exculpation would be in violation of applicable law, but shall be construed so as to effectuate the provisions of this Section 3.07(a) to the fullest extent permitted by law and (y) any liability directly attributable to the fraud, bad faith, willful misconduct or gross negligence of such Indemnified Party.</w:t>
      </w:r>
    </w:p>
    <w:p>
      <w:pPr>
        <w:spacing w:after="0" w:line="157" w:lineRule="exact"/>
        <w:rPr>
          <w:sz w:val="20"/>
          <w:szCs w:val="20"/>
          <w:color w:val="auto"/>
        </w:rPr>
      </w:pPr>
    </w:p>
    <w:p>
      <w:pPr>
        <w:ind w:firstLine="436"/>
        <w:spacing w:after="0" w:line="284" w:lineRule="auto"/>
        <w:tabs>
          <w:tab w:leader="none" w:pos="82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Partnership shall, to the full extent permitted by law, indemnify and hold harmless each Indemnified Party from and against any and all Indemnified Losses suffered or sustained by such Indemnified Party by reason of any act, omission or alleged act or omission arising out of, related to or in connection with the Partnership or this Agreement, except for any Indemnified Losses arising out of, related to or in connection with (i) any act or omission that is found by a court of competent jurisdiction to be directly attributable to the willful misconduct, bad faith, fraud, or gross negligence of such Indemnified Party, (ii) any dispute between or among Indemnified Parties, or (iii) any investigation, examination or dispute with a governmental, regulatory or self-regulatory authority of the Investment Manager or its employees in connection with a breach by such person of its duties as an investment advisor (but specifically excluding actions taken (or omitted) by such person in good faith in implementing the investment strategy of the Partnership or the Sarissa Funds or its other investment vehicles) (collectively, “</w:t>
      </w:r>
      <w:r>
        <w:rPr>
          <w:rFonts w:ascii="Arial" w:cs="Arial" w:eastAsia="Arial" w:hAnsi="Arial"/>
          <w:sz w:val="16"/>
          <w:szCs w:val="16"/>
          <w:u w:val="single" w:color="auto"/>
          <w:color w:val="auto"/>
        </w:rPr>
        <w:t>Non-Covered Losses</w:t>
      </w:r>
      <w:r>
        <w:rPr>
          <w:rFonts w:ascii="Arial" w:cs="Arial" w:eastAsia="Arial" w:hAnsi="Arial"/>
          <w:sz w:val="16"/>
          <w:szCs w:val="16"/>
          <w:color w:val="auto"/>
        </w:rPr>
        <w:t xml:space="preserve">”). The Partnership shall also indemnify and hold harmless each Indemnified Party from and against any and all Indemnified Losses (excluding Non-Covered Losses) suffered or sustained by such Indemnified Party by reason of any acts, omissions or alleged acts or omissions of any broker or agent of the Partnership;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broker or agent was selected, engaged, monitored and retained by such Indemnified Party directly or on behalf of the Partnership in accordance with the standard of care set forth above. The termination of a Proceeding by settlement or upon a plea of nolo contendere, or its equivalent, shall not, of itself, create a presumption that such Indemnified Party’s acts, omissions or alleged acts or omissions were directly attributable to the willful misconduct, bad faith, fraud, or gross negligence of such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that settlement of any such Proceeding shall not, of itself, be deemed to preclude any such finding in any Proceeding. Expenses (including reasonable legal and other professional fees and disbursements) incurred in any Proceeding shall be paid by the Partnership in advance of the final disposition of such Proceeding upon receipt of an undertaking by or on behalf of such Indemnified Party to repay such amount if it shall ultimately be determined that such Indemnified Party is not entitled to be indemnified by the Partnership. Notwithstanding any of the foregoing to the contrary, the provisions of this Section 3.07(b) shall not be construed so as to provide for the indemnification of an Indemnified Party for any liability (including liability under U.S. federal securities laws which, under certain circumstances, impose liability even on Persons that act in good faith), to the extent (but only to the extent) that such indemnification would be in violation of applicable law, but shall be construed so as to effectuate the provisions of this Section 3.07(b) to the fullest extent permitted by law.</w:t>
      </w:r>
    </w:p>
    <w:p>
      <w:pPr>
        <w:spacing w:after="0" w:line="179" w:lineRule="exact"/>
        <w:rPr>
          <w:rFonts w:ascii="Arial" w:cs="Arial" w:eastAsia="Arial" w:hAnsi="Arial"/>
          <w:sz w:val="16"/>
          <w:szCs w:val="16"/>
          <w:color w:val="auto"/>
        </w:rPr>
      </w:pPr>
    </w:p>
    <w:p>
      <w:pPr>
        <w:ind w:left="820" w:hanging="38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the Partners agrees that the amount of any Indemnified Losses required to be paid by the Partnership shall be reduced,</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dollar-for-dollar, by amounts recovered from insurance policies and third parties that may offer compensation therefor, including, without limitation, indemnification obligations of portfolio companies owed to the Indemnified Parties, and the Indemnified Parties shall use commercially reasonable efforts to obtain such compensation. Each of the Partners agrees that the provisions of this Section 3.07 shall survive the termination of this Agreement and/or the resignation or removal of the General Partner from the Partnership.</w:t>
      </w:r>
    </w:p>
    <w:p>
      <w:pPr>
        <w:sectPr>
          <w:pgSz w:w="11900" w:h="16838" w:orient="portrait"/>
          <w:cols w:equalWidth="0" w:num="1">
            <w:col w:w="11000"/>
          </w:cols>
          <w:pgMar w:left="440" w:top="274" w:right="459" w:bottom="1440" w:gutter="0" w:footer="0" w:header="0"/>
        </w:sectPr>
      </w:pPr>
    </w:p>
    <w:bookmarkStart w:id="37" w:name="page38"/>
    <w:bookmarkEnd w:id="37"/>
    <w:p>
      <w:pPr>
        <w:ind w:firstLine="436"/>
        <w:spacing w:after="0" w:line="263" w:lineRule="auto"/>
        <w:tabs>
          <w:tab w:leader="none" w:pos="827"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General Partner shall have exclusive authority to enforce, for and on behalf of the Indemnified Parties, any rights to indemnification afforded to the Indemnified Parties hereunder, and no Indemnified Parties shall have any independent authority to enforce such rights on behalf of itself, himself or herself, as applicable.</w:t>
      </w:r>
    </w:p>
    <w:p>
      <w:pPr>
        <w:spacing w:after="0" w:line="184"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3.08. </w:t>
      </w:r>
      <w:r>
        <w:rPr>
          <w:rFonts w:ascii="Arial" w:cs="Arial" w:eastAsia="Arial" w:hAnsi="Arial"/>
          <w:sz w:val="16"/>
          <w:szCs w:val="16"/>
          <w:u w:val="single" w:color="auto"/>
          <w:color w:val="auto"/>
        </w:rPr>
        <w:t>Management Fee and Asset-Based Special Distribution</w:t>
      </w:r>
      <w:r>
        <w:rPr>
          <w:rFonts w:ascii="Arial" w:cs="Arial" w:eastAsia="Arial" w:hAnsi="Arial"/>
          <w:sz w:val="16"/>
          <w:szCs w:val="16"/>
          <w:color w:val="auto"/>
        </w:rPr>
        <w:t>. (a) Subject to Section 1(g) of the Strategic Advisory Agreement, the Partnership shall pay to the Investment Manager a fee for transaction-related services (the “</w:t>
      </w:r>
      <w:r>
        <w:rPr>
          <w:rFonts w:ascii="Arial" w:cs="Arial" w:eastAsia="Arial" w:hAnsi="Arial"/>
          <w:sz w:val="16"/>
          <w:szCs w:val="16"/>
          <w:u w:val="single" w:color="auto"/>
          <w:color w:val="auto"/>
        </w:rPr>
        <w:t>Transactional Fee</w:t>
      </w:r>
      <w:r>
        <w:rPr>
          <w:rFonts w:ascii="Arial" w:cs="Arial" w:eastAsia="Arial" w:hAnsi="Arial"/>
          <w:sz w:val="16"/>
          <w:szCs w:val="16"/>
          <w:color w:val="auto"/>
        </w:rPr>
        <w:t>”) and a fee for general investment management services (the “</w:t>
      </w:r>
      <w:r>
        <w:rPr>
          <w:rFonts w:ascii="Arial" w:cs="Arial" w:eastAsia="Arial" w:hAnsi="Arial"/>
          <w:sz w:val="16"/>
          <w:szCs w:val="16"/>
          <w:u w:val="single" w:color="auto"/>
          <w:color w:val="auto"/>
        </w:rPr>
        <w:t>Advisory Fee</w:t>
      </w:r>
      <w:r>
        <w:rPr>
          <w:rFonts w:ascii="Arial" w:cs="Arial" w:eastAsia="Arial" w:hAnsi="Arial"/>
          <w:sz w:val="16"/>
          <w:szCs w:val="16"/>
          <w:color w:val="auto"/>
        </w:rPr>
        <w:t>”, and, together with the Transactional Fee, the “</w:t>
      </w:r>
      <w:r>
        <w:rPr>
          <w:rFonts w:ascii="Arial" w:cs="Arial" w:eastAsia="Arial" w:hAnsi="Arial"/>
          <w:sz w:val="16"/>
          <w:szCs w:val="16"/>
          <w:u w:val="single" w:color="auto"/>
          <w:color w:val="auto"/>
        </w:rPr>
        <w:t>Management Fee</w:t>
      </w:r>
      <w:r>
        <w:rPr>
          <w:rFonts w:ascii="Arial" w:cs="Arial" w:eastAsia="Arial" w:hAnsi="Arial"/>
          <w:sz w:val="16"/>
          <w:szCs w:val="16"/>
          <w:color w:val="auto"/>
        </w:rPr>
        <w:t>”), in advance, on the first day of each calendar quarter. In addition, the Asset-Based Special Allocation Interest will entitle the Strategic Investor that holds it to receive distributions calculated in the same manner and payable on the first day of each calendar quarter (the “</w:t>
      </w:r>
      <w:r>
        <w:rPr>
          <w:rFonts w:ascii="Arial" w:cs="Arial" w:eastAsia="Arial" w:hAnsi="Arial"/>
          <w:sz w:val="16"/>
          <w:szCs w:val="16"/>
          <w:u w:val="single" w:color="auto"/>
          <w:color w:val="auto"/>
        </w:rPr>
        <w:t>Asset-Based Special Distribution</w:t>
      </w:r>
      <w:r>
        <w:rPr>
          <w:rFonts w:ascii="Arial" w:cs="Arial" w:eastAsia="Arial" w:hAnsi="Arial"/>
          <w:sz w:val="16"/>
          <w:szCs w:val="16"/>
          <w:color w:val="auto"/>
        </w:rPr>
        <w:t xml:space="preserve">”). The total amount borne by the Partnership in respect of the Management Fee and the Asset-Based Special Distribution for a quarter shall be equal to 0.25% (1.00% per annum) of the Net Asset Value of each Capital Account of the Investor Limited Partner. Notwithstanding the foregoing, if the Partnership suspends the determination of Net Asset Value with respect to all or a portion of the Partnership’s assets pursuant to Section 6.05(b) for a period of longer than ninety (90) days, the Management Fee rate will thereafter be reduced, with respect to such portion of the Partnership’s assets for which the determination of Net Asset Value has been suspended, by 75% until the date such suspension is lifted; </w:t>
      </w:r>
      <w:r>
        <w:rPr>
          <w:rFonts w:ascii="Arial" w:cs="Arial" w:eastAsia="Arial" w:hAnsi="Arial"/>
          <w:sz w:val="16"/>
          <w:szCs w:val="16"/>
          <w:i w:val="1"/>
          <w:iCs w:val="1"/>
          <w:color w:val="auto"/>
        </w:rPr>
        <w:t>provided</w:t>
      </w:r>
      <w:r>
        <w:rPr>
          <w:rFonts w:ascii="Arial" w:cs="Arial" w:eastAsia="Arial" w:hAnsi="Arial"/>
          <w:sz w:val="16"/>
          <w:szCs w:val="16"/>
          <w:color w:val="auto"/>
        </w:rPr>
        <w:t>, that the Investor Limited Partner shall not be required to remit any fees accrued during such suspension until such time as the suspension has been lifted and no further suspension has been imposed for ninety (90) days thereafter. For the avoidance of doubt, no Management Fees or Asset-Based Special Distributions shall be borne by the Strategic Investor.</w:t>
      </w:r>
    </w:p>
    <w:p>
      <w:pPr>
        <w:spacing w:after="0" w:line="168" w:lineRule="exact"/>
        <w:rPr>
          <w:sz w:val="20"/>
          <w:szCs w:val="20"/>
          <w:color w:val="auto"/>
        </w:rPr>
      </w:pPr>
    </w:p>
    <w:p>
      <w:pPr>
        <w:ind w:right="40" w:firstLine="436"/>
        <w:spacing w:after="0" w:line="289" w:lineRule="auto"/>
        <w:tabs>
          <w:tab w:leader="none" w:pos="82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Management Fee shall be pro-rated for any mid-quarter Capital Contributions withdrawals or distributions. Amounts pro-rated in connection with any mid-quarter withdrawal or distribution shall be promptly, but in any event within ten (10) calendar days, refunded to the Limited Partners. Any fees or other compensation, including, but not limited to, monitoring fees, consulting fees, advisory fees, investment banking fees, break-up fees and closing fees (but, for the avoidance of doubt, not director fees unless such director fees are also rebated to the Sarissa Funds) (collectively, “</w:t>
      </w:r>
      <w:r>
        <w:rPr>
          <w:rFonts w:ascii="Arial" w:cs="Arial" w:eastAsia="Arial" w:hAnsi="Arial"/>
          <w:sz w:val="16"/>
          <w:szCs w:val="16"/>
          <w:u w:val="single" w:color="auto"/>
          <w:color w:val="auto"/>
        </w:rPr>
        <w:t>Transaction Fee Income</w:t>
      </w:r>
      <w:r>
        <w:rPr>
          <w:rFonts w:ascii="Arial" w:cs="Arial" w:eastAsia="Arial" w:hAnsi="Arial"/>
          <w:sz w:val="16"/>
          <w:szCs w:val="16"/>
          <w:color w:val="auto"/>
        </w:rPr>
        <w:t>”), paid directly or indirectly to the General Partner, its Affiliates or any of their respective officers, directors, employees or consultants as a result of or in connection with the Partnership’s investments shall reduce the Management Fee (but not, for the avoidance of doubt, the Asset-Based Special Distribution) dollar-for-dollar. If any such Transaction Fee Income is attributable to investments by the Partnership and one or more other accounts advised by the Investment Manager or an Affiliate, then the Partnership’s proportionate share of such Transaction Fee Income shall reduce the Management Fee (but not, for the avoidance of doubt, the Asset-Based Special Distribution) dollar-for-dollar.</w:t>
      </w:r>
    </w:p>
    <w:p>
      <w:pPr>
        <w:sectPr>
          <w:pgSz w:w="11900" w:h="16838" w:orient="portrait"/>
          <w:cols w:equalWidth="0" w:num="1">
            <w:col w:w="10960"/>
          </w:cols>
          <w:pgMar w:left="440" w:top="274" w:right="49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4.</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Capital Accounts</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4.01. </w:t>
      </w:r>
      <w:r>
        <w:rPr>
          <w:rFonts w:ascii="Arial" w:cs="Arial" w:eastAsia="Arial" w:hAnsi="Arial"/>
          <w:sz w:val="16"/>
          <w:szCs w:val="16"/>
          <w:u w:val="single" w:color="auto"/>
          <w:color w:val="auto"/>
        </w:rPr>
        <w:t>Capital Contributions; Additional Limited Partners</w:t>
      </w:r>
      <w:r>
        <w:rPr>
          <w:rFonts w:ascii="Arial" w:cs="Arial" w:eastAsia="Arial" w:hAnsi="Arial"/>
          <w:sz w:val="16"/>
          <w:szCs w:val="16"/>
          <w:color w:val="auto"/>
        </w:rPr>
        <w:t>. The initial Capital Contribution of each Limited Partner shall be set forth in the books and records of the Partnership. The Investor Limited Partner shall make an initial Capital Contribution of US$300 million (the “</w:t>
      </w:r>
      <w:r>
        <w:rPr>
          <w:rFonts w:ascii="Arial" w:cs="Arial" w:eastAsia="Arial" w:hAnsi="Arial"/>
          <w:sz w:val="16"/>
          <w:szCs w:val="16"/>
          <w:u w:val="single" w:color="auto"/>
          <w:color w:val="auto"/>
        </w:rPr>
        <w:t>Initial Capital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Contribution</w:t>
      </w:r>
      <w:r>
        <w:rPr>
          <w:rFonts w:ascii="Arial" w:cs="Arial" w:eastAsia="Arial" w:hAnsi="Arial"/>
          <w:sz w:val="16"/>
          <w:szCs w:val="16"/>
          <w:color w:val="auto"/>
        </w:rPr>
        <w:t>”) on the date hereof. The initial Capital Contribution of each other Limited Partner shall be made as of the date agreed with the General Partner. All Capital Contributions shall be made in cash, unless otherwise permitted by the General Partner and the Investor Limited Partner. The General Partner will not permit additional Partners to be admitted to the Partnership without the prior written consent of the Investor Limited Partner.</w:t>
      </w:r>
    </w:p>
    <w:p>
      <w:pPr>
        <w:spacing w:after="0" w:line="161"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u w:val="single" w:color="auto"/>
          <w:color w:val="auto"/>
        </w:rPr>
        <w:t>Additional Capital Contributions</w:t>
      </w:r>
      <w:r>
        <w:rPr>
          <w:rFonts w:ascii="Arial" w:cs="Arial" w:eastAsia="Arial" w:hAnsi="Arial"/>
          <w:sz w:val="16"/>
          <w:szCs w:val="16"/>
          <w:color w:val="auto"/>
        </w:rPr>
        <w:t>. Within the two (2) year period following the date hereof, the Investor Limited Partner (but not, for the avoidance of doubt, the Strategic Investor) shall have the right, but not the obligation, to make one or more additional Capital Contributions without further consent of the General Partner on the first Business Day of any month upon five (5) days’ prior written notice to the General Partner. The amounts contributed by the Investor Limited Partner pursuant to this Section 4.02 are called such Limited Partner’s “Additional Capital Contributions.”</w:t>
      </w:r>
    </w:p>
    <w:p>
      <w:pPr>
        <w:spacing w:after="0" w:line="26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6"/>
          <w:szCs w:val="16"/>
          <w:u w:val="single" w:color="auto"/>
          <w:color w:val="auto"/>
        </w:rPr>
        <w:t>Capital Accounts</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89" w:lineRule="auto"/>
        <w:tabs>
          <w:tab w:leader="none" w:pos="81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single capital account (“</w:t>
      </w:r>
      <w:r>
        <w:rPr>
          <w:rFonts w:ascii="Arial" w:cs="Arial" w:eastAsia="Arial" w:hAnsi="Arial"/>
          <w:sz w:val="16"/>
          <w:szCs w:val="16"/>
          <w:u w:val="single" w:color="auto"/>
          <w:color w:val="auto"/>
        </w:rPr>
        <w:t>Capital Account</w:t>
      </w:r>
      <w:r>
        <w:rPr>
          <w:rFonts w:ascii="Arial" w:cs="Arial" w:eastAsia="Arial" w:hAnsi="Arial"/>
          <w:sz w:val="16"/>
          <w:szCs w:val="16"/>
          <w:color w:val="auto"/>
        </w:rPr>
        <w:t>”) will be established on the books of the Partnership for each Partner, and each such Capital Account shall be maintained and adjusted as provided for in this Agreement and in such other manner as the General Partner shall determine to be necessary or desirable to fairly account for segregated portfolios or other variations in Capital Accounts between Partners, including, where deemed appropriate, by the creation of separate classes or sub-classes of interests, sub-accounts, memorandum accounts, reserve accounts, or otherwise. The General Partner intends to maintain a separate memorandum account with respect to each Capital Contribution by a Limited Partner solely for purposes of determining the Lock-Up Period with respect to such Capital Contribution. Except as otherwise provided in this Agreement, any references herein to a Capital Account shall include all of its related memorandum accounts. In particular, the Performance Allocation and Performance-Based Special Allocation shall be calculated with respect to the performance of the entire Capital Account, including all memorandum accounts maintained within such Capital Account subject to the remaining provisions of this Agreement.</w:t>
      </w:r>
    </w:p>
    <w:p>
      <w:pPr>
        <w:spacing w:after="0" w:line="166" w:lineRule="exact"/>
        <w:rPr>
          <w:rFonts w:ascii="Arial" w:cs="Arial" w:eastAsia="Arial" w:hAnsi="Arial"/>
          <w:sz w:val="16"/>
          <w:szCs w:val="16"/>
          <w:color w:val="auto"/>
        </w:rPr>
      </w:pPr>
    </w:p>
    <w:p>
      <w:pPr>
        <w:ind w:right="240" w:firstLine="436"/>
        <w:spacing w:after="0" w:line="286" w:lineRule="auto"/>
        <w:tabs>
          <w:tab w:leader="none" w:pos="8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 of the first day of each Accounting Period, an Opening Capital Balance in each Partner’s Capital Account for such Accounting Period shall be determined in the manner set forth in Section 4.04 hereof. As of the last day of each Accounting Period, a Closing Capital Balance in each Partner’s Capital Account for such Accounting Period shall be determined in the manner set forth in Section 4.05 hereof.</w:t>
      </w:r>
    </w:p>
    <w:p>
      <w:pPr>
        <w:sectPr>
          <w:pgSz w:w="11900" w:h="16838" w:orient="portrait"/>
          <w:cols w:equalWidth="0" w:num="1">
            <w:col w:w="10920"/>
          </w:cols>
          <w:pgMar w:left="440" w:top="270" w:right="539" w:bottom="1440" w:gutter="0" w:footer="0" w:header="0"/>
        </w:sectPr>
      </w:pPr>
    </w:p>
    <w:bookmarkStart w:id="39" w:name="page40"/>
    <w:bookmarkEnd w:id="39"/>
    <w:p>
      <w:pPr>
        <w:ind w:right="280" w:firstLine="436"/>
        <w:spacing w:after="0" w:line="277" w:lineRule="auto"/>
        <w:tabs>
          <w:tab w:leader="none" w:pos="81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separate Capital Account shall be established on the books of the Partnership for the Strategic Investor in connection with each Special Allocation Interest. Each such Capital Account shall be:</w:t>
      </w:r>
    </w:p>
    <w:p>
      <w:pPr>
        <w:spacing w:after="0" w:line="62" w:lineRule="exact"/>
        <w:rPr>
          <w:rFonts w:ascii="Arial" w:cs="Arial" w:eastAsia="Arial" w:hAnsi="Arial"/>
          <w:sz w:val="18"/>
          <w:szCs w:val="18"/>
          <w:color w:val="auto"/>
        </w:rPr>
      </w:pPr>
    </w:p>
    <w:p>
      <w:pPr>
        <w:ind w:left="440" w:firstLine="419"/>
        <w:spacing w:after="0" w:line="263" w:lineRule="auto"/>
        <w:tabs>
          <w:tab w:leader="none" w:pos="1213"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increased by the amount of each reallocation made to such Capital Account pursuant to (w) Section 4.06(g), in the case of the Capital Account(s) maintained in respect of the Asset-Based Allocation Interest or (x) Section 4.06(a)(ii), in the case of the Capital Account(s) maintained in respect of the Performance-Based Special Allocation Interest; and</w:t>
      </w:r>
    </w:p>
    <w:p>
      <w:pPr>
        <w:spacing w:after="0" w:line="75" w:lineRule="exact"/>
        <w:rPr>
          <w:rFonts w:ascii="Arial" w:cs="Arial" w:eastAsia="Arial" w:hAnsi="Arial"/>
          <w:sz w:val="18"/>
          <w:szCs w:val="18"/>
          <w:color w:val="auto"/>
        </w:rPr>
      </w:pPr>
    </w:p>
    <w:p>
      <w:pPr>
        <w:ind w:left="440" w:right="140" w:firstLine="419"/>
        <w:spacing w:after="0" w:line="263" w:lineRule="auto"/>
        <w:tabs>
          <w:tab w:leader="none" w:pos="1263"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decreased (y) on the first day of each calendar quarter, by an amount equal to the Asset-Based Special Distribution made on such day and (z) on any day on which a withdrawal is made by the Strategic Investor in respect of the Performance-Based Special Allocation pursuant to Section 6.06(b) by an amount equal to such withdrawal.</w:t>
      </w:r>
    </w:p>
    <w:p>
      <w:pPr>
        <w:spacing w:after="0" w:line="29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6"/>
          <w:szCs w:val="16"/>
          <w:u w:val="single" w:color="auto"/>
          <w:color w:val="auto"/>
        </w:rPr>
        <w:t>Opening Capital Balance</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59" w:lineRule="auto"/>
        <w:tabs>
          <w:tab w:leader="none" w:pos="8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Partner’s “</w:t>
      </w:r>
      <w:r>
        <w:rPr>
          <w:rFonts w:ascii="Arial" w:cs="Arial" w:eastAsia="Arial" w:hAnsi="Arial"/>
          <w:sz w:val="18"/>
          <w:szCs w:val="18"/>
          <w:u w:val="single" w:color="auto"/>
          <w:color w:val="auto"/>
        </w:rPr>
        <w:t>Opening Capital Balance</w:t>
      </w:r>
      <w:r>
        <w:rPr>
          <w:rFonts w:ascii="Arial" w:cs="Arial" w:eastAsia="Arial" w:hAnsi="Arial"/>
          <w:sz w:val="18"/>
          <w:szCs w:val="18"/>
          <w:color w:val="auto"/>
        </w:rPr>
        <w:t>” in its Capital Account for the Accounting Period in which such Partner first becomes a Partner shall be the amount equal to such Partner’s initial Capital Contribution (taking into account any contributed property, other than money, at its fair value on the date of contribution determined in accordance with Section 4.07 hereof, as reduced by the amount of any liabilities secured by such contributed property).</w:t>
      </w:r>
    </w:p>
    <w:p>
      <w:pPr>
        <w:spacing w:after="0" w:line="186" w:lineRule="exact"/>
        <w:rPr>
          <w:rFonts w:ascii="Arial" w:cs="Arial" w:eastAsia="Arial" w:hAnsi="Arial"/>
          <w:sz w:val="18"/>
          <w:szCs w:val="18"/>
          <w:color w:val="auto"/>
        </w:rPr>
      </w:pPr>
    </w:p>
    <w:p>
      <w:pPr>
        <w:ind w:right="20" w:firstLine="436"/>
        <w:spacing w:after="0" w:line="271" w:lineRule="auto"/>
        <w:tabs>
          <w:tab w:leader="none" w:pos="83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Except as provided in Section 4.04(a) hereof, a Partner’s Opening Capital Balance for each Accounting Period shall be the amount equal to such Partner’s Closing Capital Balance for the immediately preceding Accounting Period, increased by any Additional Capital Contributions, tracked in a related memorandum account, made by such Partner pursuant to Section 4.02 hereof as of the beginning of such Accounting Period (taking into account any contributed property, other than money, at its fair value on the date of contribution determined in accordance with Section 4.07 hereof, as reduced by the amount of any liabilities secured by such contributed property) and decreased by (i) the amount of cash or Securities paid to such Partner in connection with capital withdrawals made pursuant to Article 6 hereof as of the end of the preceding Accounting Period (even if the amount of such cash or Securities is paid after the beginning of such Accounting Period) and (ii) the amount of any distributions to such Partner during or at the end of such Accounting Period in accordance with Section 4.09 hereof.</w:t>
      </w:r>
    </w:p>
    <w:p>
      <w:pPr>
        <w:spacing w:after="0" w:line="178"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 xml:space="preserve">4.05. </w:t>
      </w:r>
      <w:r>
        <w:rPr>
          <w:rFonts w:ascii="Arial" w:cs="Arial" w:eastAsia="Arial" w:hAnsi="Arial"/>
          <w:sz w:val="16"/>
          <w:szCs w:val="16"/>
          <w:u w:val="single" w:color="auto"/>
          <w:color w:val="auto"/>
        </w:rPr>
        <w:t>Closing Capital Balance</w:t>
      </w:r>
      <w:r>
        <w:rPr>
          <w:rFonts w:ascii="Arial" w:cs="Arial" w:eastAsia="Arial" w:hAnsi="Arial"/>
          <w:sz w:val="16"/>
          <w:szCs w:val="16"/>
          <w:color w:val="auto"/>
        </w:rPr>
        <w:t>. A Partner’s “</w:t>
      </w:r>
      <w:r>
        <w:rPr>
          <w:rFonts w:ascii="Arial" w:cs="Arial" w:eastAsia="Arial" w:hAnsi="Arial"/>
          <w:sz w:val="16"/>
          <w:szCs w:val="16"/>
          <w:u w:val="single" w:color="auto"/>
          <w:color w:val="auto"/>
        </w:rPr>
        <w:t>Closing Capital Balance</w:t>
      </w:r>
      <w:r>
        <w:rPr>
          <w:rFonts w:ascii="Arial" w:cs="Arial" w:eastAsia="Arial" w:hAnsi="Arial"/>
          <w:sz w:val="16"/>
          <w:szCs w:val="16"/>
          <w:color w:val="auto"/>
        </w:rPr>
        <w:t>” in its Capital Account for any Accounting Period shall be the amount of such Partner’s Opening Capital Balance for such Accounting Period, increased by the Net Profits, if any, allocated to the Partner’s Capital Account pursuant to Sections 4.06(a)(i) and (ii) hereof for such Accounting Period (taking into account any Performance Allocation and Performance-Based Special Allocation), and decreased by the Net Losses allocated to the Partner’s Capital Account pursuant to Section 4.06(b) hereof.</w:t>
      </w:r>
    </w:p>
    <w:p>
      <w:pPr>
        <w:spacing w:after="0" w:line="26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6"/>
          <w:szCs w:val="16"/>
          <w:u w:val="single" w:color="auto"/>
          <w:color w:val="auto"/>
        </w:rPr>
        <w:t>Allocation of Net Profits and Net Losses</w:t>
      </w:r>
      <w:r>
        <w:rPr>
          <w:rFonts w:ascii="Arial" w:cs="Arial" w:eastAsia="Arial" w:hAnsi="Arial"/>
          <w:sz w:val="16"/>
          <w:szCs w:val="16"/>
          <w:color w:val="auto"/>
        </w:rPr>
        <w:t>.</w:t>
      </w:r>
    </w:p>
    <w:p>
      <w:pPr>
        <w:spacing w:after="0" w:line="117" w:lineRule="exact"/>
        <w:rPr>
          <w:sz w:val="20"/>
          <w:szCs w:val="20"/>
          <w:color w:val="auto"/>
        </w:rPr>
      </w:pPr>
    </w:p>
    <w:p>
      <w:pPr>
        <w:ind w:left="820" w:hanging="384"/>
        <w:spacing w:after="0"/>
        <w:tabs>
          <w:tab w:leader="none" w:pos="8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Except as otherwise provided in this Agreement, Net Profits for an Accounting Period shall be allocated in accordance with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method:</w:t>
      </w:r>
    </w:p>
    <w:p>
      <w:pPr>
        <w:spacing w:after="0" w:line="102" w:lineRule="exact"/>
        <w:rPr>
          <w:rFonts w:ascii="Arial" w:cs="Arial" w:eastAsia="Arial" w:hAnsi="Arial"/>
          <w:sz w:val="16"/>
          <w:szCs w:val="16"/>
          <w:color w:val="auto"/>
        </w:rPr>
      </w:pPr>
    </w:p>
    <w:p>
      <w:pPr>
        <w:ind w:left="440" w:right="560" w:firstLine="419"/>
        <w:spacing w:after="0" w:line="263" w:lineRule="auto"/>
        <w:tabs>
          <w:tab w:leader="none" w:pos="1213" w:val="left"/>
        </w:tabs>
        <w:numPr>
          <w:ilvl w:val="1"/>
          <w:numId w:val="46"/>
        </w:numPr>
        <w:rPr>
          <w:rFonts w:ascii="Arial" w:cs="Arial" w:eastAsia="Arial" w:hAnsi="Arial"/>
          <w:sz w:val="18"/>
          <w:szCs w:val="18"/>
          <w:color w:val="auto"/>
        </w:rPr>
      </w:pPr>
      <w:r>
        <w:rPr>
          <w:rFonts w:ascii="Arial" w:cs="Arial" w:eastAsia="Arial" w:hAnsi="Arial"/>
          <w:sz w:val="18"/>
          <w:szCs w:val="18"/>
          <w:color w:val="auto"/>
        </w:rPr>
        <w:t>Net Profits for each Interim Accounting Period in a Fiscal Year or, if there are no Interim Accounting Periods, Net Profits for a Complete Accounting Period shall be preliminarily allocated to the Capital Accounts of the Partners in proportion to their Opening Capital Balances for such Accounting Period. All Net Profits so allocated to a</w:t>
      </w:r>
    </w:p>
    <w:p>
      <w:pPr>
        <w:sectPr>
          <w:pgSz w:w="11900" w:h="16838" w:orient="portrait"/>
          <w:cols w:equalWidth="0" w:num="1">
            <w:col w:w="10980"/>
          </w:cols>
          <w:pgMar w:left="440" w:top="274" w:right="479" w:bottom="1440" w:gutter="0" w:footer="0" w:header="0"/>
        </w:sectPr>
      </w:pPr>
    </w:p>
    <w:bookmarkStart w:id="40" w:name="page41"/>
    <w:bookmarkEnd w:id="40"/>
    <w:p>
      <w:pPr>
        <w:ind w:left="4"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Partner’s Capital Account shall be referred to as such Partner’s “Preliminary Profit Allocation.” For the avoidance of doubt, the Capital Accounts of the Strategic Investor maintained in accordance with Section 4.03(c) shall not be allocated any Net Profits pursuant to this Section 4.06(a)(i).</w:t>
      </w:r>
    </w:p>
    <w:p>
      <w:pPr>
        <w:spacing w:after="0" w:line="16" w:lineRule="exact"/>
        <w:rPr>
          <w:sz w:val="20"/>
          <w:szCs w:val="20"/>
          <w:color w:val="auto"/>
        </w:rPr>
      </w:pPr>
    </w:p>
    <w:p>
      <w:pPr>
        <w:ind w:left="4" w:firstLine="419"/>
        <w:spacing w:after="0" w:line="285" w:lineRule="auto"/>
        <w:tabs>
          <w:tab w:leader="none" w:pos="823" w:val="left"/>
        </w:tabs>
        <w:numPr>
          <w:ilvl w:val="1"/>
          <w:numId w:val="47"/>
        </w:numPr>
        <w:rPr>
          <w:rFonts w:ascii="Arial" w:cs="Arial" w:eastAsia="Arial" w:hAnsi="Arial"/>
          <w:sz w:val="16"/>
          <w:szCs w:val="16"/>
          <w:color w:val="auto"/>
        </w:rPr>
      </w:pPr>
      <w:r>
        <w:rPr>
          <w:rFonts w:ascii="Arial" w:cs="Arial" w:eastAsia="Arial" w:hAnsi="Arial"/>
          <w:sz w:val="16"/>
          <w:szCs w:val="16"/>
          <w:color w:val="auto"/>
        </w:rPr>
        <w:t>With respect to each Limited Partner other than the Strategic Investor, at the close of each Complete Accounting Period, the General Partner shall be allocated a performance allocation (the “</w:t>
      </w:r>
      <w:r>
        <w:rPr>
          <w:rFonts w:ascii="Arial" w:cs="Arial" w:eastAsia="Arial" w:hAnsi="Arial"/>
          <w:sz w:val="16"/>
          <w:szCs w:val="16"/>
          <w:u w:val="single" w:color="auto"/>
          <w:color w:val="auto"/>
        </w:rPr>
        <w:t>Performance Allocation</w:t>
      </w:r>
      <w:r>
        <w:rPr>
          <w:rFonts w:ascii="Arial" w:cs="Arial" w:eastAsia="Arial" w:hAnsi="Arial"/>
          <w:sz w:val="16"/>
          <w:szCs w:val="16"/>
          <w:color w:val="auto"/>
        </w:rPr>
        <w:t>”). In addition, the General Partner shall make allocations to the Capital Account(s) maintained in respect of the Performance-Based Special Allocation Interest calculated in the same manner as the Performance Allocation at the close of each Complete Accounting Period (the “</w:t>
      </w:r>
      <w:r>
        <w:rPr>
          <w:rFonts w:ascii="Arial" w:cs="Arial" w:eastAsia="Arial" w:hAnsi="Arial"/>
          <w:sz w:val="16"/>
          <w:szCs w:val="16"/>
          <w:u w:val="single" w:color="auto"/>
          <w:color w:val="auto"/>
        </w:rPr>
        <w:t>Performance-Based Special Allocation</w:t>
      </w:r>
      <w:r>
        <w:rPr>
          <w:rFonts w:ascii="Arial" w:cs="Arial" w:eastAsia="Arial" w:hAnsi="Arial"/>
          <w:sz w:val="16"/>
          <w:szCs w:val="16"/>
          <w:color w:val="auto"/>
        </w:rPr>
        <w:t>”). The total amount borne by any Limited Partner in respect of the Performance Allocation and the Performance-Based Special Allocation (in the aggregate) for such Complete Accounting Period shall be equal 10% of the excess, if any, of such Limited Partner’s aggregate Preliminary Profit Allocation for such Complete Accounting Period (including the Preliminary Profit Allocations of Interim Accounting Periods within that Complete Accounting Period less any Loss Allocation incurred for any Interim Accounting Periods during such Complete Accounting Period over the sum of (x) without duplication, the amount of the Management Fees debited from such Partner’s Capital Account for such Complete Accounting Period, (y) without duplication, the aggregate reallocations made from such Capital Account pursuant to Section 4.06(g) during such Complete Accounting Period and (z) any unrecovered balance remaining in such Limited Partner’s Loss Recovery Account (defined below), subject to the following sentence. The amount of the unrecovered balance remaining in the Loss Recovery Account of a Limited Partner at the time of calculating the Performance Allocation and the Performance-Based Special Allocation shall be the amount immediately prior to its reduction pursuant to the second sentence of Section 4.06(e), which allocation shall then reduce such Limited Partner’s final profit allocation for the Complete Accounting Period. For purposes of the Performance Allocation and the Performance-Based Special Allocation (and the Loss Recovery Account), all of the Capital Contributions of a Limited Partner will be maintained in one Capital Account.</w:t>
      </w:r>
    </w:p>
    <w:p>
      <w:pPr>
        <w:spacing w:after="0" w:line="176" w:lineRule="exact"/>
        <w:rPr>
          <w:rFonts w:ascii="Arial" w:cs="Arial" w:eastAsia="Arial" w:hAnsi="Arial"/>
          <w:sz w:val="16"/>
          <w:szCs w:val="16"/>
          <w:color w:val="auto"/>
        </w:rPr>
      </w:pPr>
    </w:p>
    <w:p>
      <w:pPr>
        <w:ind w:left="-436" w:right="300" w:firstLine="436"/>
        <w:spacing w:after="0" w:line="301" w:lineRule="auto"/>
        <w:tabs>
          <w:tab w:leader="none" w:pos="394" w:val="left"/>
        </w:tabs>
        <w:numPr>
          <w:ilvl w:val="0"/>
          <w:numId w:val="48"/>
        </w:numPr>
        <w:rPr>
          <w:rFonts w:ascii="Arial" w:cs="Arial" w:eastAsia="Arial" w:hAnsi="Arial"/>
          <w:sz w:val="16"/>
          <w:szCs w:val="16"/>
          <w:color w:val="auto"/>
        </w:rPr>
      </w:pPr>
      <w:r>
        <w:rPr>
          <w:rFonts w:ascii="Arial" w:cs="Arial" w:eastAsia="Arial" w:hAnsi="Arial"/>
          <w:sz w:val="16"/>
          <w:szCs w:val="16"/>
          <w:color w:val="auto"/>
        </w:rPr>
        <w:t>Net Losses for each Interim Accounting Period in a Fiscal Year, or if none, Net Losses for each Complete Accounting Period shall be allocated 100% to the Capital Accounts of the Partners in proportion to their respective Opening Capital Balances. All Net Losses so allocated to a Partner’s Capital Account shall be referred to as such Partner’s “Loss Allocation.” For the avoidance of doubt, the Capital Accounts of the Strategic Investor maintained in accordance with Section 4.03(c) shall not be allocated any Loss Allocations pursuant to this Section 4.06(b).</w:t>
      </w:r>
    </w:p>
    <w:p>
      <w:pPr>
        <w:spacing w:after="0" w:line="157" w:lineRule="exact"/>
        <w:rPr>
          <w:rFonts w:ascii="Arial" w:cs="Arial" w:eastAsia="Arial" w:hAnsi="Arial"/>
          <w:sz w:val="16"/>
          <w:szCs w:val="16"/>
          <w:color w:val="auto"/>
        </w:rPr>
      </w:pPr>
    </w:p>
    <w:p>
      <w:pPr>
        <w:ind w:left="-436" w:right="80" w:firstLine="436"/>
        <w:spacing w:after="0" w:line="342" w:lineRule="auto"/>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Management Fees for such Accounting Period shall be debited from the Capital Accounts of the Limited Partners (for the avoidance of doubt, other than the Strategic Investor) in a manner consistent with the calculation of such Management Fees pursuant to Section 3.08.</w:t>
      </w:r>
    </w:p>
    <w:p>
      <w:pPr>
        <w:spacing w:after="0" w:line="123" w:lineRule="exact"/>
        <w:rPr>
          <w:rFonts w:ascii="Arial" w:cs="Arial" w:eastAsia="Arial" w:hAnsi="Arial"/>
          <w:sz w:val="16"/>
          <w:szCs w:val="16"/>
          <w:color w:val="auto"/>
        </w:rPr>
      </w:pPr>
    </w:p>
    <w:p>
      <w:pPr>
        <w:ind w:left="-436" w:right="120" w:firstLine="436"/>
        <w:spacing w:after="0" w:line="308" w:lineRule="auto"/>
        <w:tabs>
          <w:tab w:leader="none" w:pos="394"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Notwithstanding anything else herein to the contrary, with respect to a Limited Partner (other than the Strategic Investor) making (or being required to make) a withdrawal from its Capital Account or receiving a distribution at the close of an Interim Accounting Period, such</w:t>
      </w:r>
    </w:p>
    <w:p>
      <w:pPr>
        <w:sectPr>
          <w:pgSz w:w="11900" w:h="16838" w:orient="portrait"/>
          <w:cols w:equalWidth="0" w:num="1">
            <w:col w:w="10504"/>
          </w:cols>
          <w:pgMar w:left="876" w:top="274" w:right="519" w:bottom="1440" w:gutter="0" w:footer="0" w:header="0"/>
        </w:sectPr>
      </w:pPr>
    </w:p>
    <w:bookmarkStart w:id="41" w:name="page42"/>
    <w:bookmarkEnd w:id="4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Interim Accounting Period shall be treated as a Complete Accounting Period (ending on the Initial Withdrawal Payment Date and/or the relevant Withdrawal Payment Date thereafter) with respect to any cash or Securities withdrawn or distributed for purposes of Sections 4.06(a) and 4.06(e) hereof, and a Performance Allocation and Performance-Based Special Allocation shall be calculated and allocated, if applicable, at such time solely with respect to the Net Profits or Net Losses proportionately attributable to the amount of cash or Securities withdrawn or distributed.</w:t>
      </w:r>
    </w:p>
    <w:p>
      <w:pPr>
        <w:spacing w:after="0" w:line="171" w:lineRule="exact"/>
        <w:rPr>
          <w:sz w:val="20"/>
          <w:szCs w:val="20"/>
          <w:color w:val="auto"/>
        </w:rPr>
      </w:pPr>
    </w:p>
    <w:p>
      <w:pPr>
        <w:ind w:right="20" w:firstLine="436"/>
        <w:spacing w:after="0" w:line="286" w:lineRule="auto"/>
        <w:tabs>
          <w:tab w:leader="none" w:pos="817"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There shall be established on the books of the Partnership for each Limited Partner (other than the Strategic Investor) a memorandum account (the “</w:t>
      </w:r>
      <w:r>
        <w:rPr>
          <w:rFonts w:ascii="Arial" w:cs="Arial" w:eastAsia="Arial" w:hAnsi="Arial"/>
          <w:sz w:val="16"/>
          <w:szCs w:val="16"/>
          <w:u w:val="single" w:color="auto"/>
          <w:color w:val="auto"/>
        </w:rPr>
        <w:t>Loss Recovery Account</w:t>
      </w:r>
      <w:r>
        <w:rPr>
          <w:rFonts w:ascii="Arial" w:cs="Arial" w:eastAsia="Arial" w:hAnsi="Arial"/>
          <w:sz w:val="16"/>
          <w:szCs w:val="16"/>
          <w:color w:val="auto"/>
        </w:rPr>
        <w:t>”), the opening balance of which shall be zero and the balance of which shall carry over from Accounting Period to Accounting Period, unless reduced as set forth herein. At the end of each Complete Accounting Period or at the end of an Interim Accounting Period when the calculation of a Performance Allocation and a Performance-Based Special Allocation is required to be made for a Limited Partner under this Section 4.06, the balance in its Loss Recovery Account shall be (i) increased by the amount of the Limited Partner’s Loss Allocation for such Accounting Period, or (ii) decreased (but not below zero) by the amount of such Limited Partner’s Preliminary Profit Allocation for such Accounting Period, but for avoidance of doubt, without reducing such Preliminary Profit Allocation by the amount of any Performance Allocation and Performance-Based Special Allocation made to the General Partner or the Strategic Investor, as applicable, for such period). In the event that such Limited Partner receives a distribution of cash or Securities from its Capital Account (in connection with withdrawal pursuant to Article 6 or distribution pursuant to Section 4.09 hereof) when there is an unrecovered balance in the Loss Recovery Account established in respect of such Capital Account, the unrecovered balance in such Loss Recovery Account shall be reduced as of the beginning of the next Accounting Period by an amount equal to the product obtained by multiplying the balance in such Loss Recovery Account by a fraction, the numerator of which is the amount of the distribution made to such Limited Partner and the denominator of which is such Limited Partner’s Closing Capital Balance for the Accounting Period ending as of the date of such withdrawal (prior to giving effect to such distribution). Additional Capital Contributions shall not affect any Loss Recovery Account.</w:t>
      </w:r>
    </w:p>
    <w:p>
      <w:pPr>
        <w:spacing w:after="0" w:line="170" w:lineRule="exact"/>
        <w:rPr>
          <w:rFonts w:ascii="Arial" w:cs="Arial" w:eastAsia="Arial" w:hAnsi="Arial"/>
          <w:sz w:val="16"/>
          <w:szCs w:val="16"/>
          <w:color w:val="auto"/>
        </w:rPr>
      </w:pPr>
    </w:p>
    <w:p>
      <w:pPr>
        <w:ind w:right="40" w:firstLine="436"/>
        <w:spacing w:after="0" w:line="287" w:lineRule="auto"/>
        <w:tabs>
          <w:tab w:leader="none" w:pos="79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Appropriate reserves may be created, accrued and charged against the Partnership’s assets for contingent liabilities, such reserves to be in the amounts that the General Partner deems necessary or appropriate. Any material reserves will be notified to the Investor Limited Partner (which may be provided in the audited financial statements of the Partnership). The General Partner may increase or reduce any such reserve from time to time by such amounts as the General Partner deems necessary or appropriate. At the determination of the General Partner, the amount of any such reserve, or any increase or decrease therein, may be charged or credited, as appropriate, taking into account the manner in which the relevant items are allocable under this Agreement (it being understood that the only items attributable to the Strategic Investor shall be amounts for which the Strategic Investor would be required to indemnify the Partnership and the Partnership Representative pursuant to Section 6.05(d) or Section 8.06(c)), to the Capital Accounts of the relevant Partners at the time when such reserve is created, increased, or decreased, as the case may be, or alternatively may be charged or credited to such Partners at the time of the act or omission giving rise to the contingent liability for which the reserve was established. Unless otherwise determined by the General Partner, for the purposes of determining Net Operating Profits or Net Operating Losses in any Accounting Period, any increase in such reserves shall be treated as an expense of the Partnership and any decrease in such reserves shall be treated as income of the Partnership.</w:t>
      </w:r>
    </w:p>
    <w:p>
      <w:pPr>
        <w:sectPr>
          <w:pgSz w:w="11900" w:h="16838" w:orient="portrait"/>
          <w:cols w:equalWidth="0" w:num="1">
            <w:col w:w="11000"/>
          </w:cols>
          <w:pgMar w:left="440" w:top="274" w:right="459" w:bottom="1440" w:gutter="0" w:footer="0" w:header="0"/>
        </w:sectPr>
      </w:pPr>
    </w:p>
    <w:bookmarkStart w:id="42" w:name="page43"/>
    <w:bookmarkEnd w:id="42"/>
    <w:p>
      <w:pPr>
        <w:ind w:right="220" w:firstLine="436"/>
        <w:spacing w:after="0" w:line="259" w:lineRule="auto"/>
        <w:tabs>
          <w:tab w:leader="none" w:pos="83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the first day of each calendar quarter, the Partnership shall reallocate from each Capital Account of a Limited Partner (other than the Strategic Investor) to the Capital Account(s) maintained in respect of the Asset-Based Special Allocation Interest an amount equal to the Asset-Based Special Distribution attributable to such Capital Account pursuant to the principles set forth in Section 3.08 to be made in respect of such calendar quarter to the Strategic Investor(s) holding the Asset-Based Special Allocation Interest.</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4.07. </w:t>
      </w:r>
      <w:r>
        <w:rPr>
          <w:rFonts w:ascii="Arial" w:cs="Arial" w:eastAsia="Arial" w:hAnsi="Arial"/>
          <w:sz w:val="17"/>
          <w:szCs w:val="17"/>
          <w:u w:val="single" w:color="auto"/>
          <w:color w:val="auto"/>
        </w:rPr>
        <w:t>Valuation of Assets</w:t>
      </w:r>
      <w:r>
        <w:rPr>
          <w:rFonts w:ascii="Arial" w:cs="Arial" w:eastAsia="Arial" w:hAnsi="Arial"/>
          <w:sz w:val="17"/>
          <w:szCs w:val="17"/>
          <w:color w:val="auto"/>
        </w:rPr>
        <w:t>. The Net Asset Value of the Partnership will be calculated by the Investment Manager or an administrator for the Partnership (the “</w:t>
      </w:r>
      <w:r>
        <w:rPr>
          <w:rFonts w:ascii="Arial" w:cs="Arial" w:eastAsia="Arial" w:hAnsi="Arial"/>
          <w:sz w:val="17"/>
          <w:szCs w:val="17"/>
          <w:u w:val="single" w:color="auto"/>
          <w:color w:val="auto"/>
        </w:rPr>
        <w:t>Administrator</w:t>
      </w:r>
      <w:r>
        <w:rPr>
          <w:rFonts w:ascii="Arial" w:cs="Arial" w:eastAsia="Arial" w:hAnsi="Arial"/>
          <w:sz w:val="17"/>
          <w:szCs w:val="17"/>
          <w:color w:val="auto"/>
        </w:rPr>
        <w:t>”) selected by the Investment Manager, as of the end of each Accounting Period in accordance with the Valuation Policy of the Investment Manager. A true copy of the current Valuation Policy has heretofore been provided to each Limited Partner. The General Partner shall notify the Investor Limited Partner of any material amendments to the Valuation Policy. The General Partner may suspend the calculation of the Partnership’s Net Asset Value under the same circumstances as it may suspend withdrawals by a Limited Partner.</w:t>
      </w:r>
    </w:p>
    <w:p>
      <w:pPr>
        <w:spacing w:after="0" w:line="176"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4.08. </w:t>
      </w:r>
      <w:r>
        <w:rPr>
          <w:rFonts w:ascii="Arial" w:cs="Arial" w:eastAsia="Arial" w:hAnsi="Arial"/>
          <w:sz w:val="16"/>
          <w:szCs w:val="16"/>
          <w:u w:val="single" w:color="auto"/>
          <w:color w:val="auto"/>
        </w:rPr>
        <w:t>Determination by General Partner of Certain Matters</w:t>
      </w:r>
      <w:r>
        <w:rPr>
          <w:rFonts w:ascii="Arial" w:cs="Arial" w:eastAsia="Arial" w:hAnsi="Arial"/>
          <w:sz w:val="16"/>
          <w:szCs w:val="16"/>
          <w:color w:val="auto"/>
        </w:rPr>
        <w:t>. All matters concerning the valuation of the Partnership’s assets, the allocation of Net Profits and Net Losses among the Partners, the allocation of related Partnership tax items among the Partners and all accounting procedures not specifically and expressly provided for by the terms of this Agreement shall be determined by the General Partner, whose determination, so long as made in good faith, shall be final and conclusive as to all of the Partners and no Limited Partner nor the Partnership shall have any liability to any other Limited Partner as a result thereof. The General Partner may waive some or all of its rights under this Agreement (but not, for the avoidance of doubt, any rights of the Strategic Investor absent the prior written consent of the Strategic Investor), including rights to Performance Allocations or other payments, either generally or with respect to particular matters, periods or Partners, and any such waiver or agreement shall not bind the General Partner with respect to other periods or Partners, nor with respect to any other matters or rights set forth herein. For the avoidance of doubt, any waivers, offsets or reductions of Management Fees or Performance Allocations shall not impact the calculation or distribution of the Asset Based Special Distributions or the Performance-Based Special Allocations absent the prior written consent of the Strategic Investor.</w:t>
      </w:r>
    </w:p>
    <w:p>
      <w:pPr>
        <w:spacing w:after="0" w:line="16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4.09. </w:t>
      </w:r>
      <w:r>
        <w:rPr>
          <w:rFonts w:ascii="Arial" w:cs="Arial" w:eastAsia="Arial" w:hAnsi="Arial"/>
          <w:sz w:val="18"/>
          <w:szCs w:val="18"/>
          <w:u w:val="single" w:color="auto"/>
          <w:color w:val="auto"/>
        </w:rPr>
        <w:t>Distributions Generally</w:t>
      </w:r>
      <w:r>
        <w:rPr>
          <w:rFonts w:ascii="Arial" w:cs="Arial" w:eastAsia="Arial" w:hAnsi="Arial"/>
          <w:sz w:val="18"/>
          <w:szCs w:val="18"/>
          <w:color w:val="auto"/>
        </w:rPr>
        <w:t xml:space="preserve">. (a) The General Partner may declare distributions at such times and in such amounts as the General Partner shall determine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that the General Partner shall not be obligated to do so under any circumstance except as otherwise provided in this Section 4.09. Any distributions hereunder (other than distributions in respect of the Asset-Based Special Distribution and the Performance-Based Special Allocation), unless otherwise determined by the General Partner, shall be made ratably to all Partners in accordance with their respective Capital Accounts at the time of such distribution and shall be treated for all purposes of Section 4.06 as withdrawals from the capital of the Partnership. The General Partner may withhold taxes from any distributions to any Partner as set forth in Section 6.05(d). The Partnership shall not distribute property other than cash pursuant to this Section 4.09, Article 6 or any other provision hereof without the prior written consent of, or request by, the Investor Limited</w:t>
      </w:r>
    </w:p>
    <w:p>
      <w:pPr>
        <w:sectPr>
          <w:pgSz w:w="11900" w:h="16838" w:orient="portrait"/>
          <w:cols w:equalWidth="0" w:num="1">
            <w:col w:w="10980"/>
          </w:cols>
          <w:pgMar w:left="440" w:top="274" w:right="479" w:bottom="1440" w:gutter="0" w:footer="0" w:header="0"/>
        </w:sectPr>
      </w:pPr>
    </w:p>
    <w:bookmarkStart w:id="43" w:name="page44"/>
    <w:bookmarkEnd w:id="43"/>
    <w:p>
      <w:pPr>
        <w:jc w:val="both"/>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Partner and in the event of any such distribution in-kind, the Capital Accounts and Closing Capital Balances of the Partners shall be adjusted as if such property were sold at its fair market value and the cash proceeds of such sale were distributed. For the avoidance of doubt, Performance Allocation and Performance-Based Special Allocation shall be determined at the time of each distribution with respect to the amount distributed, and any distributions shall be net of all Partnership expenses, including Management Fees and Asset-Based Distributions.</w:t>
      </w:r>
    </w:p>
    <w:p>
      <w:pPr>
        <w:spacing w:after="0" w:line="171" w:lineRule="exact"/>
        <w:rPr>
          <w:sz w:val="20"/>
          <w:szCs w:val="20"/>
          <w:color w:val="auto"/>
        </w:rPr>
      </w:pPr>
    </w:p>
    <w:p>
      <w:pPr>
        <w:ind w:firstLine="436"/>
        <w:spacing w:after="0" w:line="286" w:lineRule="auto"/>
        <w:tabs>
          <w:tab w:leader="none" w:pos="83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Annual Gains Sweep</w:t>
      </w:r>
      <w:r>
        <w:rPr>
          <w:rFonts w:ascii="Arial" w:cs="Arial" w:eastAsia="Arial" w:hAnsi="Arial"/>
          <w:sz w:val="16"/>
          <w:szCs w:val="16"/>
          <w:color w:val="auto"/>
        </w:rPr>
        <w:t>. For each Fiscal Year following December 31, 2020 (each, a “</w:t>
      </w:r>
      <w:r>
        <w:rPr>
          <w:rFonts w:ascii="Arial" w:cs="Arial" w:eastAsia="Arial" w:hAnsi="Arial"/>
          <w:sz w:val="16"/>
          <w:szCs w:val="16"/>
          <w:u w:val="single" w:color="auto"/>
          <w:color w:val="auto"/>
        </w:rPr>
        <w:t>Dividend Period</w:t>
      </w:r>
      <w:r>
        <w:rPr>
          <w:rFonts w:ascii="Arial" w:cs="Arial" w:eastAsia="Arial" w:hAnsi="Arial"/>
          <w:sz w:val="16"/>
          <w:szCs w:val="16"/>
          <w:color w:val="auto"/>
        </w:rPr>
        <w:t>”), the Investor Limited Partner shall have the right to elect (an “</w:t>
      </w:r>
      <w:r>
        <w:rPr>
          <w:rFonts w:ascii="Arial" w:cs="Arial" w:eastAsia="Arial" w:hAnsi="Arial"/>
          <w:sz w:val="16"/>
          <w:szCs w:val="16"/>
          <w:u w:val="single" w:color="auto"/>
          <w:color w:val="auto"/>
        </w:rPr>
        <w:t>Annual Election</w:t>
      </w:r>
      <w:r>
        <w:rPr>
          <w:rFonts w:ascii="Arial" w:cs="Arial" w:eastAsia="Arial" w:hAnsi="Arial"/>
          <w:sz w:val="16"/>
          <w:szCs w:val="16"/>
          <w:color w:val="auto"/>
        </w:rPr>
        <w:t>”) to receive from the Partnership a cash distribution from its Capital Account in an amount equal to the Distributable Gain (as defined below) of the Partnership allocable to such Capital Account with respect to the relevant Dividend Period. The “</w:t>
      </w:r>
      <w:r>
        <w:rPr>
          <w:rFonts w:ascii="Arial" w:cs="Arial" w:eastAsia="Arial" w:hAnsi="Arial"/>
          <w:sz w:val="16"/>
          <w:szCs w:val="16"/>
          <w:u w:val="single" w:color="auto"/>
          <w:color w:val="auto"/>
        </w:rPr>
        <w:t>Distributable Gain</w:t>
      </w:r>
      <w:r>
        <w:rPr>
          <w:rFonts w:ascii="Arial" w:cs="Arial" w:eastAsia="Arial" w:hAnsi="Arial"/>
          <w:sz w:val="16"/>
          <w:szCs w:val="16"/>
          <w:color w:val="auto"/>
        </w:rPr>
        <w:t>” shall be equal to Net Profits for the Dividend Period reduced for all relevant Partnership expenses, reserves for future Partnership expenses, Management Fees and Asset-Based Distributions and accrued Performance Allocation and Performance-Based Special Allocation (if any) and anticipated cash needs with respect to any Partnership positions, as determined by the General Partner in good faith. The Investment Manager will notify the Investor Limited Partner of the Distributable Gain (if any) available in respect of each Dividend Period by the end of such Dividend Period. In order for the Investor Limited Partner to exercise its Annual Election, the Partnership must receive written notice from the Investor Limited Partner by November 1 of the current Dividend Period. If the Distributable Gain is equal to or less than 15% of the Net Asset Value of the Partnership, the General Partner shall make the distribution of the Distributable Gain in one installment by March 31 of the next Dividend Period. If the Distributable Gain exceeds 15% of the Net Asset Value of the Partnership, any such excess may be distributed by June 30 of the next Dividend Period. For example, the Investor Limited Partner may make its first Annual Election by November 1, 2021, and assuming Distributable Gain of 20% of the Net Asset Value of the Partnership, distribution of 15% of the Net Asset Value will be made by March 31, 2022 and the remainder by June 30, 2022. To the extent a Limited Partner does not exercise its Annual Election with respect to any Dividend Period, the amount of its Distributable Gain for such Dividend Period will not be carried forward and will not be available for distribution in any subsequent Fiscal Years.</w:t>
      </w:r>
    </w:p>
    <w:p>
      <w:pPr>
        <w:spacing w:after="0" w:line="167" w:lineRule="exact"/>
        <w:rPr>
          <w:rFonts w:ascii="Arial" w:cs="Arial" w:eastAsia="Arial" w:hAnsi="Arial"/>
          <w:sz w:val="16"/>
          <w:szCs w:val="16"/>
          <w:color w:val="auto"/>
        </w:rPr>
      </w:pPr>
    </w:p>
    <w:p>
      <w:pPr>
        <w:ind w:firstLine="436"/>
        <w:spacing w:after="0" w:line="290" w:lineRule="auto"/>
        <w:tabs>
          <w:tab w:leader="none" w:pos="82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ICA Distribution</w:t>
      </w:r>
      <w:r>
        <w:rPr>
          <w:rFonts w:ascii="Arial" w:cs="Arial" w:eastAsia="Arial" w:hAnsi="Arial"/>
          <w:sz w:val="16"/>
          <w:szCs w:val="16"/>
          <w:color w:val="auto"/>
        </w:rPr>
        <w:t>. If the Investor Limited Partner reasonably determines that its investment in the Partnership will cause it to be treated as an “investment company” for purposes of the Investment Company Act of 1940 (the “</w:t>
      </w:r>
      <w:r>
        <w:rPr>
          <w:rFonts w:ascii="Arial" w:cs="Arial" w:eastAsia="Arial" w:hAnsi="Arial"/>
          <w:sz w:val="16"/>
          <w:szCs w:val="16"/>
          <w:u w:val="single" w:color="auto"/>
          <w:color w:val="auto"/>
        </w:rPr>
        <w:t>ICA</w:t>
      </w:r>
      <w:r>
        <w:rPr>
          <w:rFonts w:ascii="Arial" w:cs="Arial" w:eastAsia="Arial" w:hAnsi="Arial"/>
          <w:sz w:val="16"/>
          <w:szCs w:val="16"/>
          <w:color w:val="auto"/>
        </w:rPr>
        <w:t>”) and the Partnership’s counsel, in reliance on information provided by the Investor Limited Partner, is not able to deliver a reasoned opinion to the effect that its investment in the Partnership should not cause the Investor Limited Partner to be treated as an “investment company” under the ICA or the rules promulgated thereunder, the Investor Limited Partner shall notify the Partnership, and the General Partner will use best efforts to make a cash distribution in the relevant amount determined on the basis of the legal opinion to the Limited Partner as soon as reasonably practicable to enable the Investor Limited Partner to not be treated as an “investment company” under the ICA. In the event the General Partner is not able to make the required cash distribution in a timely manner, it shall notify the Investor Limited Partner and the parties shall jointly determine the ensuing course of action in good faith.</w:t>
      </w:r>
    </w:p>
    <w:p>
      <w:pPr>
        <w:spacing w:after="0" w:line="165" w:lineRule="exact"/>
        <w:rPr>
          <w:sz w:val="20"/>
          <w:szCs w:val="20"/>
          <w:color w:val="auto"/>
        </w:rPr>
      </w:pPr>
    </w:p>
    <w:p>
      <w:pPr>
        <w:ind w:right="320" w:firstLine="440"/>
        <w:spacing w:after="0" w:line="308"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Prior Fiscal Period Items</w:t>
      </w:r>
      <w:r>
        <w:rPr>
          <w:rFonts w:ascii="Arial" w:cs="Arial" w:eastAsia="Arial" w:hAnsi="Arial"/>
          <w:sz w:val="17"/>
          <w:szCs w:val="17"/>
          <w:color w:val="auto"/>
        </w:rPr>
        <w:t>. In general, and notwithstanding any of the allocation rules discussed in this Article 4, if the Partnership has a material item of profit or loss in any Accounting Period that relates to a matter or transaction occurring during a prior Accounting</w:t>
      </w:r>
    </w:p>
    <w:p>
      <w:pPr>
        <w:sectPr>
          <w:pgSz w:w="11900" w:h="16838" w:orient="portrait"/>
          <w:cols w:equalWidth="0" w:num="1">
            <w:col w:w="11000"/>
          </w:cols>
          <w:pgMar w:left="440" w:top="274" w:right="459" w:bottom="1440" w:gutter="0" w:footer="0" w:header="0"/>
        </w:sectPr>
      </w:pPr>
    </w:p>
    <w:bookmarkStart w:id="44" w:name="page45"/>
    <w:bookmarkEnd w:id="44"/>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Period, the item of profit or loss may, at the sole discretion of the General Partner, be shared among the Partners (including Persons who have ceased to be Partners) in accordance with their interest in the Partnership during the prior period. A Person who has ceased to be a Partner will be liable for its proportionate share of prior Accounting Period items and shall pay such share on demand, provided that the amount to be paid shall not exceed the amount of such Partner’s Capital Account at the time such prior Accounting Period item arose.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Allocation of Profits and Losses for Federal Income Tax Purposes</w:t>
      </w:r>
    </w:p>
    <w:p>
      <w:pPr>
        <w:spacing w:after="0" w:line="225" w:lineRule="exact"/>
        <w:rPr>
          <w:sz w:val="20"/>
          <w:szCs w:val="20"/>
          <w:color w:val="auto"/>
        </w:rPr>
      </w:pPr>
    </w:p>
    <w:p>
      <w:pPr>
        <w:ind w:right="180" w:firstLine="440"/>
        <w:spacing w:after="0" w:line="287"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Generally</w:t>
      </w:r>
      <w:r>
        <w:rPr>
          <w:rFonts w:ascii="Arial" w:cs="Arial" w:eastAsia="Arial" w:hAnsi="Arial"/>
          <w:sz w:val="16"/>
          <w:szCs w:val="16"/>
          <w:color w:val="auto"/>
        </w:rPr>
        <w:t>. For each Fiscal Year, items of income, deduction, gain, loss or credit shall be allocated for income tax purposes among the Partners in such manner as to reflect equitably amounts credited or debited to each Partner’s Capital Account for the current and prior Fiscal Years (or relevant portions thereof). Allocations shall generally be made pursuant to the principles of Code Section 704 and in conformity with Regulations §§</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1.704-1, 1.704-2 and 1.704-3 promulgated thereunder, as applicable, or successor provisions to such Code Section and Regulations. Without limiting the foregoing, there are hereby incorporated herein such special allocation provisions governing the allocation of Partnership income, deduction, gain and loss for federal income tax purposes as may be necessary under the foregoing Regulations to provide herein a so-called “qualified income offset” within the meaning of Regulations § 1.704-1(b)(2)(ii)(d) and to ensure that this Article 5 complies with all requirements of Regulations § 1.704-2 relating to “minimum gain” and “partner nonrecourse debt minimum gain” and the allocation and chargeback of so-called “nonrecourse deductions” and “partner nonrecourse deductions.” In addition, to the extent an adjustment to the adjusted tax basis of any Partnership asset pursuant to Section 734 or 743 of the Code is required due to certain transfers of interests of the Partnership, any adjustment that would be required to be made to Capital Accounts maintained in accordance with Regulations § 1.704-1(b)(2)(iv) shall be treated as an item of gain (if the adjustment increases the basis of the asset) or loss (if the adjustment decreases such basis), which such item of gain or loss shall be specially allocated to the Partners in a manner consistent with the manner in which Capital Accounts maintained in accordance with Regulations § 1.704-1(b)(2)(iv) are required to be adjusted pursuant to such Section of the Regulations.</w:t>
      </w:r>
    </w:p>
    <w:p>
      <w:pPr>
        <w:spacing w:after="0" w:line="186"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Ordinary Deductions and Ordinary Income</w:t>
      </w:r>
      <w:r>
        <w:rPr>
          <w:rFonts w:ascii="Arial" w:cs="Arial" w:eastAsia="Arial" w:hAnsi="Arial"/>
          <w:sz w:val="18"/>
          <w:szCs w:val="18"/>
          <w:color w:val="auto"/>
        </w:rPr>
        <w:t>. Subject to and in accordance with Section 5.01, for federal income tax purposes, all items of deduction other than realized capital losses, and all items of income other than realized capital gains, shall be allocated, as nearly as is practicable, in accordance with the manner in which such items of deduction or income affected the amounts that were either deducted from or added to the Capital Accounts of the Partners.</w:t>
      </w:r>
    </w:p>
    <w:p>
      <w:pPr>
        <w:spacing w:after="0" w:line="18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Capital Gains and Capital Losses</w:t>
      </w:r>
      <w:r>
        <w:rPr>
          <w:rFonts w:ascii="Arial" w:cs="Arial" w:eastAsia="Arial" w:hAnsi="Arial"/>
          <w:sz w:val="18"/>
          <w:szCs w:val="18"/>
          <w:color w:val="auto"/>
        </w:rPr>
        <w:t>. Subject to and in accordance with Section 5.01, for federal income tax purposes, capital gains and capital losses (short-term and long-term, as the case may be) recognized by the Partnership shall be allocated, as nearly as is practicable, in accordance with the manner in which the aggregate of the increase or decrease in the value of the Securities positions giving rise to such gains or losses was added to or deducted from the Capital Accounts of the Partners.</w:t>
      </w:r>
    </w:p>
    <w:p>
      <w:pPr>
        <w:sectPr>
          <w:pgSz w:w="11900" w:h="16838" w:orient="portrait"/>
          <w:cols w:equalWidth="0" w:num="1">
            <w:col w:w="10980"/>
          </w:cols>
          <w:pgMar w:left="440" w:top="274" w:right="47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6.</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Withdrawal</w:t>
      </w:r>
    </w:p>
    <w:p>
      <w:pPr>
        <w:spacing w:after="0" w:line="22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Withdrawals</w:t>
      </w:r>
      <w:r>
        <w:rPr>
          <w:rFonts w:ascii="Arial" w:cs="Arial" w:eastAsia="Arial" w:hAnsi="Arial"/>
          <w:sz w:val="16"/>
          <w:szCs w:val="16"/>
          <w:color w:val="auto"/>
        </w:rPr>
        <w:t>.</w:t>
      </w:r>
    </w:p>
    <w:p>
      <w:pPr>
        <w:spacing w:after="0" w:line="117" w:lineRule="exact"/>
        <w:rPr>
          <w:sz w:val="20"/>
          <w:szCs w:val="20"/>
          <w:color w:val="auto"/>
        </w:rPr>
      </w:pPr>
    </w:p>
    <w:p>
      <w:pPr>
        <w:ind w:right="380" w:firstLine="436"/>
        <w:spacing w:after="0" w:line="277"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Limited Partner shall be permitted to withdraw all or any portion of the balance of its Capital Account prior to the termination of the applicable Lock-Up Period.</w:t>
      </w:r>
    </w:p>
    <w:p>
      <w:pPr>
        <w:spacing w:after="0" w:line="170" w:lineRule="exact"/>
        <w:rPr>
          <w:rFonts w:ascii="Arial" w:cs="Arial" w:eastAsia="Arial" w:hAnsi="Arial"/>
          <w:sz w:val="18"/>
          <w:szCs w:val="18"/>
          <w:color w:val="auto"/>
        </w:rPr>
      </w:pPr>
    </w:p>
    <w:p>
      <w:pPr>
        <w:ind w:firstLine="436"/>
        <w:spacing w:after="0" w:line="267" w:lineRule="auto"/>
        <w:tabs>
          <w:tab w:leader="none" w:pos="83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Subject to Section 6.05, a Limited Partner may voluntarily withdraw up to one-fourth (twenty-five percent (25%)) of its Capital Account as of any Withdrawal Date on or after the last day of the Fiscal Quarter following the expiration of the Lock-Up Period applicable to such Capital Account upon prior written notice to the General Partner or its designee, to be provided no later than the 60</w:t>
      </w:r>
      <w:r>
        <w:rPr>
          <w:rFonts w:ascii="Arial" w:cs="Arial" w:eastAsia="Arial" w:hAnsi="Arial"/>
          <w:sz w:val="14"/>
          <w:szCs w:val="14"/>
          <w:color w:val="auto"/>
        </w:rPr>
        <w:t>th</w:t>
      </w:r>
      <w:r>
        <w:rPr>
          <w:rFonts w:ascii="Arial" w:cs="Arial" w:eastAsia="Arial" w:hAnsi="Arial"/>
          <w:sz w:val="17"/>
          <w:szCs w:val="17"/>
          <w:color w:val="auto"/>
        </w:rPr>
        <w:t xml:space="preserve"> calendar day prior to the date on which such Lock-Up Period terminates;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Capital Account is established on the first day of a Fiscal Quarter, the initial Withdrawal Date related to such capital contribution shall be deemed to be the last day of the Fiscal Quarter immediately preceding the expiration of the Lock-Up Period applicable to such Capital Account unless terminated earlier (such date with respect to each such Limited Partner, its “</w:t>
      </w:r>
      <w:r>
        <w:rPr>
          <w:rFonts w:ascii="Arial" w:cs="Arial" w:eastAsia="Arial" w:hAnsi="Arial"/>
          <w:sz w:val="17"/>
          <w:szCs w:val="17"/>
          <w:u w:val="single" w:color="auto"/>
          <w:color w:val="auto"/>
        </w:rPr>
        <w:t>Initial Quarterly Withdrawal</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and such Limited Partner may withdraw one-third (thirty-three and one-third percent (33.33%)) of its remaining Capital Account as of the following Withdrawal Payment Date, one-half (fifty percent (50%)) of its remaining Capital Account as of the next following Withdrawal Payment Date, and the remainder of its Capital Account as of the following Withdrawal Payment Date (any such series of four withdrawal requests on consecutive Withdrawal Payment Dates for one hundred percent (100%) of a Limited Partner’s Capital Account, a request for “</w:t>
      </w:r>
      <w:r>
        <w:rPr>
          <w:rFonts w:ascii="Arial" w:cs="Arial" w:eastAsia="Arial" w:hAnsi="Arial"/>
          <w:sz w:val="17"/>
          <w:szCs w:val="17"/>
          <w:u w:val="single" w:color="auto"/>
          <w:color w:val="auto"/>
        </w:rPr>
        <w:t>Full Withdrawal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amount by which a withdrawal request exceeds the amount permitted to be withdrawn as of any Withdrawal Payment Date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irrevocably treated as a request for withdrawal as of the subsequent Withdrawal Payment Date, unless otherwise agreed by the General Partner. A request to withdraw less than the value of a Limited Partner’s entire Capital Account will be fulfilled through a withdrawal of the maximum amount permitted on each Withdrawal Payment Date for a Full Withdrawal up to the amount of such requested partial withdrawal. If a Limited Partner opts not to exercise its maximum permitted withdrawal right as of any such Withdrawal Date, the subsequent Withdrawal Date on which such Limited Partner exercises its right to withdraw any portion of its Capital Account shall be treated as the Initial Quarterly Withdrawal Date for purposes of calculating the maximum amount permitted to be withdrawn by such Limited Partner. All withdrawal requests shall be deemed to occur on a “first-in first-out” basis among the Limited Partner’s Capital Accounts.</w:t>
      </w:r>
    </w:p>
    <w:p>
      <w:pPr>
        <w:spacing w:after="0" w:line="189" w:lineRule="exact"/>
        <w:rPr>
          <w:rFonts w:ascii="Arial" w:cs="Arial" w:eastAsia="Arial" w:hAnsi="Arial"/>
          <w:sz w:val="17"/>
          <w:szCs w:val="17"/>
          <w:color w:val="auto"/>
        </w:rPr>
      </w:pPr>
    </w:p>
    <w:p>
      <w:pPr>
        <w:jc w:val="both"/>
        <w:ind w:right="260" w:firstLine="436"/>
        <w:spacing w:after="0" w:line="286" w:lineRule="auto"/>
        <w:tabs>
          <w:tab w:leader="none" w:pos="817" w:val="left"/>
        </w:tabs>
        <w:numPr>
          <w:ilvl w:val="0"/>
          <w:numId w:val="52"/>
        </w:numPr>
        <w:rPr>
          <w:rFonts w:ascii="Arial" w:cs="Arial" w:eastAsia="Arial" w:hAnsi="Arial"/>
          <w:sz w:val="17"/>
          <w:szCs w:val="17"/>
          <w:color w:val="auto"/>
        </w:rPr>
      </w:pPr>
      <w:r>
        <w:rPr>
          <w:rFonts w:ascii="Arial" w:cs="Arial" w:eastAsia="Arial" w:hAnsi="Arial"/>
          <w:sz w:val="17"/>
          <w:szCs w:val="17"/>
          <w:color w:val="auto"/>
        </w:rPr>
        <w:t>Withdrawals pursuant to this Section 6.01 shall be made in cash, provided that the Investor Limited Partner may request all or any part of such withdrawals to be made in-kind and in such event, and upon such request in consultation with the General Partner, the General Partner shall use commercially reasonable efforts to distribute the requested Securities valued as provided in Section 4.09(a) hereof.</w:t>
      </w:r>
    </w:p>
    <w:p>
      <w:pPr>
        <w:spacing w:after="0" w:line="16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 xml:space="preserve">6.02. </w:t>
      </w:r>
      <w:r>
        <w:rPr>
          <w:rFonts w:ascii="Arial" w:cs="Arial" w:eastAsia="Arial" w:hAnsi="Arial"/>
          <w:sz w:val="17"/>
          <w:szCs w:val="17"/>
          <w:u w:val="single" w:color="auto"/>
          <w:color w:val="auto"/>
        </w:rPr>
        <w:t>Special Withdrawal Rights</w:t>
      </w:r>
      <w:r>
        <w:rPr>
          <w:rFonts w:ascii="Arial" w:cs="Arial" w:eastAsia="Arial" w:hAnsi="Arial"/>
          <w:sz w:val="17"/>
          <w:szCs w:val="17"/>
          <w:color w:val="auto"/>
        </w:rPr>
        <w:t>. (a) Notwithstanding Section 6.01, following an occurrence of Cause each Limited Partner may withdraw all or a portion of its Capital Account as of any month end following an occurrence of Cause upon at least 20 calendar days’ prior notice without application of the Lock-Up Period. “Cause” shall mean an indictment of the General Partner or the Principal on a felony offense.</w:t>
      </w:r>
    </w:p>
    <w:p>
      <w:pPr>
        <w:sectPr>
          <w:pgSz w:w="11900" w:h="16838" w:orient="portrait"/>
          <w:cols w:equalWidth="0" w:num="1">
            <w:col w:w="10980"/>
          </w:cols>
          <w:pgMar w:left="440" w:top="270" w:right="479" w:bottom="1440" w:gutter="0" w:footer="0" w:header="0"/>
        </w:sectPr>
      </w:pPr>
    </w:p>
    <w:bookmarkStart w:id="46" w:name="page47"/>
    <w:bookmarkEnd w:id="46"/>
    <w:p>
      <w:pPr>
        <w:ind w:left="824" w:hanging="384"/>
        <w:spacing w:after="0"/>
        <w:tabs>
          <w:tab w:leader="none" w:pos="824" w:val="left"/>
        </w:tabs>
        <w:numPr>
          <w:ilvl w:val="0"/>
          <w:numId w:val="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occurrence of a Key Man Event, the Partnership shall promptly notify all of its Limited Partners in writing (any such notice, a</w:t>
      </w:r>
    </w:p>
    <w:p>
      <w:pPr>
        <w:spacing w:after="0" w:line="35" w:lineRule="exact"/>
        <w:rPr>
          <w:sz w:val="20"/>
          <w:szCs w:val="20"/>
          <w:color w:val="auto"/>
        </w:rPr>
      </w:pPr>
    </w:p>
    <w:p>
      <w:pPr>
        <w:ind w:left="4"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Man Event Notice</w:t>
      </w:r>
      <w:r>
        <w:rPr>
          <w:rFonts w:ascii="Arial" w:cs="Arial" w:eastAsia="Arial" w:hAnsi="Arial"/>
          <w:sz w:val="18"/>
          <w:szCs w:val="18"/>
          <w:color w:val="auto"/>
        </w:rPr>
        <w:t>”). Upon receiving a Key Man Event Notice, each Limited Partner shall have the right to withdraw part or all of the balance of its Capital Accounts without the application of the Lock-Up Period by providing written notice thereof to the Partnership during the thirty (30) calendar day period immediately following the date of such Key Man Event Notice (such period, the “</w:t>
      </w:r>
      <w:r>
        <w:rPr>
          <w:rFonts w:ascii="Arial" w:cs="Arial" w:eastAsia="Arial" w:hAnsi="Arial"/>
          <w:sz w:val="18"/>
          <w:szCs w:val="18"/>
          <w:u w:val="single" w:color="auto"/>
          <w:color w:val="auto"/>
        </w:rPr>
        <w:t>30-day Election Period</w:t>
      </w:r>
      <w:r>
        <w:rPr>
          <w:rFonts w:ascii="Arial" w:cs="Arial" w:eastAsia="Arial" w:hAnsi="Arial"/>
          <w:sz w:val="18"/>
          <w:szCs w:val="18"/>
          <w:color w:val="auto"/>
        </w:rPr>
        <w:t>”). The Withdrawals Date shall be effective as of the first month-end that immediately follows the expiration of the sixty (60) calendar days that immediately follow the 30-day Election Period.</w:t>
      </w:r>
    </w:p>
    <w:p>
      <w:pPr>
        <w:spacing w:after="0" w:line="191" w:lineRule="exact"/>
        <w:rPr>
          <w:sz w:val="20"/>
          <w:szCs w:val="20"/>
          <w:color w:val="auto"/>
        </w:rPr>
      </w:pPr>
    </w:p>
    <w:p>
      <w:pPr>
        <w:ind w:left="4" w:firstLine="436"/>
        <w:spacing w:after="0" w:line="259" w:lineRule="auto"/>
        <w:tabs>
          <w:tab w:leader="none" w:pos="834"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event that the Strategic Investor elects to exercise its withdrawal rights in the Sarissa Funds following the occurrence of certain events pursuant to the terms of the Strategic Investor Agreement, the Investor Limited Partner will be notified and be permitted to withdraw alongside the Strategic Investor the same proportion of its interest in the Partnership as the interests being withdrawn by the Strategic Investor in relation to its capital invested in the Sarissa Funds.</w:t>
      </w:r>
    </w:p>
    <w:p>
      <w:pPr>
        <w:spacing w:after="0" w:line="187"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 xml:space="preserve">6.03. </w:t>
      </w:r>
      <w:r>
        <w:rPr>
          <w:rFonts w:ascii="Arial" w:cs="Arial" w:eastAsia="Arial" w:hAnsi="Arial"/>
          <w:sz w:val="17"/>
          <w:szCs w:val="17"/>
          <w:u w:val="single" w:color="auto"/>
          <w:color w:val="auto"/>
        </w:rPr>
        <w:t>Resignation as Partner</w:t>
      </w:r>
      <w:r>
        <w:rPr>
          <w:rFonts w:ascii="Arial" w:cs="Arial" w:eastAsia="Arial" w:hAnsi="Arial"/>
          <w:sz w:val="17"/>
          <w:szCs w:val="17"/>
          <w:color w:val="auto"/>
        </w:rPr>
        <w:t>. Upon the complete withdrawal of a Limited Partner, such Limited Partner shall be deemed to have resigned as a Partner unless otherwise agreed by such Limited Partner. A complete withdrawal of the Capital Account of the General Partner shall not cause the resignation of the General Partner. The General Partner shall be deemed to have withdrawn and resigned as of the effective date of its removal pursuant to Section 9.02. The Strategic Investor shall remain a Limited Partner for so long as it holds any Special Allocation Interest.</w:t>
      </w:r>
    </w:p>
    <w:p>
      <w:pPr>
        <w:spacing w:after="0" w:line="279" w:lineRule="exact"/>
        <w:rPr>
          <w:sz w:val="20"/>
          <w:szCs w:val="20"/>
          <w:color w:val="auto"/>
        </w:rPr>
      </w:pPr>
    </w:p>
    <w:p>
      <w:pPr>
        <w:ind w:left="444"/>
        <w:spacing w:after="0"/>
        <w:tabs>
          <w:tab w:leader="none" w:pos="964"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6"/>
          <w:szCs w:val="16"/>
          <w:u w:val="single" w:color="auto"/>
          <w:color w:val="auto"/>
        </w:rPr>
        <w:t>Payment to Withdrawing Partner</w:t>
      </w:r>
      <w:r>
        <w:rPr>
          <w:rFonts w:ascii="Arial" w:cs="Arial" w:eastAsia="Arial" w:hAnsi="Arial"/>
          <w:sz w:val="16"/>
          <w:szCs w:val="16"/>
          <w:color w:val="auto"/>
        </w:rPr>
        <w:t>.</w:t>
      </w:r>
    </w:p>
    <w:p>
      <w:pPr>
        <w:spacing w:after="0" w:line="117" w:lineRule="exact"/>
        <w:rPr>
          <w:sz w:val="20"/>
          <w:szCs w:val="20"/>
          <w:color w:val="auto"/>
        </w:rPr>
      </w:pPr>
    </w:p>
    <w:p>
      <w:pPr>
        <w:ind w:left="4" w:right="140" w:firstLine="436"/>
        <w:spacing w:after="0" w:line="263" w:lineRule="auto"/>
        <w:tabs>
          <w:tab w:leader="none" w:pos="824"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Subject to Section 6.06(b) and 6.06(c), on any Initial Quarterly Withdrawal Date and on each subsequent Withdrawal Payment Date as of which any interests of a Limited Partner are being withdrawn, such interests (other than any interests attributable to Special Investments) shall be paid out to the Limited Partner within thirty (30) calendar days after each such applicable date.</w:t>
      </w:r>
    </w:p>
    <w:p>
      <w:pPr>
        <w:spacing w:after="0" w:line="183" w:lineRule="exact"/>
        <w:rPr>
          <w:rFonts w:ascii="Arial" w:cs="Arial" w:eastAsia="Arial" w:hAnsi="Arial"/>
          <w:sz w:val="18"/>
          <w:szCs w:val="18"/>
          <w:color w:val="auto"/>
        </w:rPr>
      </w:pPr>
    </w:p>
    <w:p>
      <w:pPr>
        <w:jc w:val="both"/>
        <w:ind w:left="4" w:right="380" w:firstLine="436"/>
        <w:spacing w:after="0" w:line="291" w:lineRule="auto"/>
        <w:tabs>
          <w:tab w:leader="none" w:pos="834" w:val="left"/>
        </w:tabs>
        <w:numPr>
          <w:ilvl w:val="1"/>
          <w:numId w:val="55"/>
        </w:numPr>
        <w:rPr>
          <w:rFonts w:ascii="Arial" w:cs="Arial" w:eastAsia="Arial" w:hAnsi="Arial"/>
          <w:sz w:val="16"/>
          <w:szCs w:val="16"/>
          <w:color w:val="auto"/>
        </w:rPr>
      </w:pPr>
      <w:r>
        <w:rPr>
          <w:rFonts w:ascii="Arial" w:cs="Arial" w:eastAsia="Arial" w:hAnsi="Arial"/>
          <w:sz w:val="16"/>
          <w:szCs w:val="16"/>
          <w:color w:val="auto"/>
        </w:rPr>
        <w:t>In the event of a withdrawal upon the occurrence of Cause or a Key Man Event, as provided in Section 6.02, notwithstanding any other provisions in this Agreement, the Partnership shall distribute the withdrawal proceeds as soon as reasonably practicable and generally within thirty</w:t>
      </w:r>
    </w:p>
    <w:p>
      <w:pPr>
        <w:ind w:left="4" w:right="80" w:hanging="4"/>
        <w:spacing w:after="0" w:line="253" w:lineRule="auto"/>
        <w:tabs>
          <w:tab w:leader="none" w:pos="3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calendar days after the applicable Withdrawal Date as determined under Section 6.02. With respect to a withdrawal of the entire balance of the Limited Partner’s Capital Account, the Partnership may retain up to 5% of a withdrawal request amount, which shall be distributed, together with the estimated amount of interest earned thereon, if any, within thirty (30) calendar days after the completion of the audit for the Fiscal Year in which such withdrawal is made. The General Partner shall cause to be prepared and distribute with the audit for the applicable Fiscal Year a statement setting forth any deductions from the reserve amount.</w:t>
      </w:r>
    </w:p>
    <w:p>
      <w:pPr>
        <w:sectPr>
          <w:pgSz w:w="11900" w:h="16838" w:orient="portrait"/>
          <w:cols w:equalWidth="0" w:num="1">
            <w:col w:w="10944"/>
          </w:cols>
          <w:pgMar w:left="436" w:top="274" w:right="519" w:bottom="1440" w:gutter="0" w:footer="0" w:header="0"/>
        </w:sectPr>
      </w:pPr>
    </w:p>
    <w:bookmarkStart w:id="47" w:name="page48"/>
    <w:bookmarkEnd w:id="47"/>
    <w:p>
      <w:pPr>
        <w:ind w:left="-436" w:right="60" w:firstLine="436"/>
        <w:spacing w:after="0" w:line="257" w:lineRule="auto"/>
        <w:tabs>
          <w:tab w:leader="none" w:pos="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in this Section 6.04, in the event that the Partnership is unable to liquidate a sufficient amount of Securities to pay in full requested withdrawals pursuant to Section 6.04, then the Partnership will offer to distribute such Securities to the Partner and, if the Partner does not choose to receive a distribution of such Securities, then the Partnership shall seek to sell such Securities at the earliest practicable dates when it is able to do so and in such event, the portion of the withdrawal request that has not been satisfied will remain invested in the relevant Securities until the Partnership is able to liquidate such Securities.</w:t>
      </w:r>
    </w:p>
    <w:p>
      <w:pPr>
        <w:spacing w:after="0" w:line="296" w:lineRule="exact"/>
        <w:rPr>
          <w:sz w:val="20"/>
          <w:szCs w:val="20"/>
          <w:color w:val="auto"/>
        </w:rPr>
      </w:pPr>
    </w:p>
    <w:p>
      <w:pPr>
        <w:ind w:left="4"/>
        <w:spacing w:after="0"/>
        <w:tabs>
          <w:tab w:leader="none" w:pos="523"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6"/>
          <w:szCs w:val="16"/>
          <w:u w:val="single" w:color="auto"/>
          <w:color w:val="auto"/>
        </w:rPr>
        <w:t>Limitations on Withdrawals</w:t>
      </w:r>
      <w:r>
        <w:rPr>
          <w:rFonts w:ascii="Arial" w:cs="Arial" w:eastAsia="Arial" w:hAnsi="Arial"/>
          <w:sz w:val="16"/>
          <w:szCs w:val="16"/>
          <w:color w:val="auto"/>
        </w:rPr>
        <w:t>.</w:t>
      </w:r>
    </w:p>
    <w:p>
      <w:pPr>
        <w:spacing w:after="0" w:line="117" w:lineRule="exact"/>
        <w:rPr>
          <w:sz w:val="20"/>
          <w:szCs w:val="20"/>
          <w:color w:val="auto"/>
        </w:rPr>
      </w:pPr>
    </w:p>
    <w:p>
      <w:pPr>
        <w:ind w:left="-436" w:right="80" w:firstLine="436"/>
        <w:spacing w:after="0" w:line="273" w:lineRule="auto"/>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right of any Partner or its legal representatives to withdraw any amount from its Capital Account and to have distributed to it any such amount (or any portion thereof) pursuant to this Article 6 is subject to the provision by the General Partner for all Partnership liabilities in accordance with the Delaware Act and for reasonable reserves for contingencies and estimated accrued expenses and liabilities, in each case determined reasonably and in good faith by the General Partner. Such reserves may be invested in the same manner as other assets of the Partnership, placed in an interest bearing account or dealt with in such other manner as the General Partner deems appropriate. In addition, no withdrawal shall be permitted that would result in a Capital Account having a negative balance.</w:t>
      </w:r>
    </w:p>
    <w:p>
      <w:pPr>
        <w:spacing w:after="0" w:line="177" w:lineRule="exact"/>
        <w:rPr>
          <w:rFonts w:ascii="Arial" w:cs="Arial" w:eastAsia="Arial" w:hAnsi="Arial"/>
          <w:sz w:val="17"/>
          <w:szCs w:val="17"/>
          <w:color w:val="auto"/>
        </w:rPr>
      </w:pPr>
    </w:p>
    <w:p>
      <w:pPr>
        <w:ind w:left="-436" w:firstLine="436"/>
        <w:spacing w:after="0" w:line="269" w:lineRule="auto"/>
        <w:tabs>
          <w:tab w:leader="none" w:pos="391"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General Partner, by written notice to the Limited Partners, may suspend or limit the right of the Partners to withdraw amounts from the Partnership and the payment of withdrawal proceeds, in whole or in part, (i) during any breakdown in the means of communication normally employed in determining the price or value of the Partnership’s assets or liabilities, or of current prices in any stock market as aforesaid, (ii) during any period when the transfer of funds involved in the realization or acquisition of any investments cannot, in the opinion of the General Partner, be effected at normal rates of exchange, (iii) during any period in which the payment of withdrawal proceeds, in the reasonable opinion of the General Partner, would result in a violation of applicable law, (iv) during any period in which any market or exchange on which a significant portion of the Partnership’s assets are quoted is closed (other than for ordinary holidays) or during which dealings therein are restricted or suspended; or (v) when there exists in the opinion of the General Partner and based on written advice of Partnership’s counsel a state of affairs where suspension would not be inconsistent with its fiduciary duties to all of its advisory clients under the Advisers Act. Upon the determination by the General Partner that any of the above-mentioned conditions no longer applies, withdrawal rights shall be promptly reinstated, and any pending withdrawal requests shall be honored promptly as of such date as is reasonably practicable as determined by the General Partner.</w:t>
      </w:r>
    </w:p>
    <w:p>
      <w:pPr>
        <w:spacing w:after="0" w:line="181" w:lineRule="exact"/>
        <w:rPr>
          <w:rFonts w:ascii="Arial" w:cs="Arial" w:eastAsia="Arial" w:hAnsi="Arial"/>
          <w:sz w:val="17"/>
          <w:szCs w:val="17"/>
          <w:color w:val="auto"/>
        </w:rPr>
      </w:pPr>
    </w:p>
    <w:p>
      <w:pPr>
        <w:ind w:left="-436" w:firstLine="436"/>
        <w:spacing w:after="0" w:line="311" w:lineRule="auto"/>
        <w:tabs>
          <w:tab w:leader="none" w:pos="3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General Partner, by written notice to the Limited Partners, may also suspend withdrawal rights and the payment of withdrawal proceeds to a Limited Partner if the General Partner reasonably deems it necessary to do so to comply with anti-money laundering laws and regulations applicable to the Partnership, the General Partner or their Affiliates, subsidiaries or associates or any of the Partnership’s other service providers.</w:t>
      </w:r>
    </w:p>
    <w:p>
      <w:pPr>
        <w:spacing w:after="0" w:line="148" w:lineRule="exact"/>
        <w:rPr>
          <w:rFonts w:ascii="Arial" w:cs="Arial" w:eastAsia="Arial" w:hAnsi="Arial"/>
          <w:sz w:val="16"/>
          <w:szCs w:val="16"/>
          <w:color w:val="auto"/>
        </w:rPr>
      </w:pPr>
    </w:p>
    <w:p>
      <w:pPr>
        <w:jc w:val="both"/>
        <w:ind w:left="-436" w:firstLine="436"/>
        <w:spacing w:after="0" w:line="259" w:lineRule="auto"/>
        <w:tabs>
          <w:tab w:leader="none" w:pos="394"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the Partnership incurs a withholding tax or other tax obligation with respect to the share of Partnership income allocable to any Partner, then the General Partner, without limitation of any other rights of the Partnership or the General Partner, may cause the amount of such obligation to be debited against the appropriate Capital Account of such Partner as of the close of the Accounting Period during</w:t>
      </w:r>
    </w:p>
    <w:p>
      <w:pPr>
        <w:sectPr>
          <w:pgSz w:w="11900" w:h="16838" w:orient="portrait"/>
          <w:cols w:equalWidth="0" w:num="1">
            <w:col w:w="10564"/>
          </w:cols>
          <w:pgMar w:left="876" w:top="274" w:right="459" w:bottom="1440" w:gutter="0" w:footer="0" w:header="0"/>
        </w:sectPr>
      </w:pPr>
    </w:p>
    <w:bookmarkStart w:id="48" w:name="page49"/>
    <w:bookmarkEnd w:id="4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 such obligation is withheld or paid by the Partnership. If the amount of such taxes is greater than such Capital Account balance, then such Partner and any successor to such Partner’s interest in the Partnership must pay to the Partnership as a contribution to the capital of the Partnership, upon demand of the General Partner, the amount of such excess plus interest thereon at a rate equal to the Prime Rate as of the date of such Withholding Tax or other tax obligation was paid by the Partnership, plus 2% per annum. If any amount required to be withheld was not, in fact, actually withheld from distributions, the General Partner may, at its option, (i) require the affected Partner to reimburse the Partnership for such withholding or (ii) reduce any subsequent distributions to such Partner by the amount required to be but not withheld. Each Partner shall indemnify the General Partner and the Partnership against any losses and liabilities (including interest and penalties) related to any withholding obligations with respect to allocations or distributions made to such Partner by the Partnership, other than any such losses and liabilities (including interest and penalties) that arise as a result of the gross negligence of the General Partner. To the extent that a Limited Partner claims to be entitled to a reduced rate of, or exemption from, a withholding tax pursuant to an applicable income tax treaty, or otherwise, such Limited Partner shall furnish the General Partner with such information and forms as such Limited Partner may be required to complete to comply with any and all laws and regulations governing the obligations of withholding tax agents. Neither the Partnership nor the General Partner shall be liable for any excess withholding taxes (directly or indirectly) in respect of any Limited Partner, provided that, the General Partner uses reasonable best efforts to not over-withhold withholding taxes and to provide reasonable assistance to any Limited Partner in applying for a refund from the appropriate governmental authority in the event of over-withholding. If requested by the General Partner, each Limited Partner shall, if able to do so, deliver to the General Partner: (x) an affidavit in form satisfactory to the General Partner that the applicable Limited Partner (or its direct or indirect owners, as the case may be) is not subject to withholding under the provisions of any federal, state, local, foreign or other law; (y) any certificate or other document that the General Partner may reasonably request with respect to any such laws, including any form, certification, or other information required by Section 1471-1474 of the Code (and the Treasury Regulations or other authority promulgated thereunder, any agreement entered into thereunder and any intergovernmental agreement entered into in connection with the implementation of such Sections of the Code); and/or (z) any other form or instrument (including a non-resident certificates) reasonably requested by the General Partner relating to any Limited Partner’s status under such law.</w:t>
      </w:r>
    </w:p>
    <w:p>
      <w:pPr>
        <w:spacing w:after="0" w:line="200" w:lineRule="exact"/>
        <w:rPr>
          <w:sz w:val="20"/>
          <w:szCs w:val="20"/>
          <w:color w:val="auto"/>
        </w:rPr>
      </w:pPr>
    </w:p>
    <w:p>
      <w:pPr>
        <w:spacing w:after="0" w:line="30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6.06.</w:t>
      </w:r>
      <w:r>
        <w:rPr>
          <w:sz w:val="20"/>
          <w:szCs w:val="20"/>
          <w:color w:val="auto"/>
        </w:rPr>
        <w:tab/>
      </w:r>
      <w:r>
        <w:rPr>
          <w:rFonts w:ascii="Arial" w:cs="Arial" w:eastAsia="Arial" w:hAnsi="Arial"/>
          <w:sz w:val="16"/>
          <w:szCs w:val="16"/>
          <w:u w:val="single" w:color="auto"/>
          <w:color w:val="auto"/>
        </w:rPr>
        <w:t>Distributions in Respect of Special Allocation Interests</w:t>
      </w:r>
      <w:r>
        <w:rPr>
          <w:rFonts w:ascii="Arial" w:cs="Arial" w:eastAsia="Arial" w:hAnsi="Arial"/>
          <w:sz w:val="16"/>
          <w:szCs w:val="16"/>
          <w:color w:val="auto"/>
        </w:rPr>
        <w:t>.</w:t>
      </w:r>
    </w:p>
    <w:p>
      <w:pPr>
        <w:spacing w:after="0" w:line="117" w:lineRule="exact"/>
        <w:rPr>
          <w:sz w:val="20"/>
          <w:szCs w:val="20"/>
          <w:color w:val="auto"/>
        </w:rPr>
      </w:pPr>
    </w:p>
    <w:p>
      <w:pPr>
        <w:ind w:right="180" w:firstLine="436"/>
        <w:spacing w:after="0" w:line="308" w:lineRule="auto"/>
        <w:tabs>
          <w:tab w:leader="none" w:pos="82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Asset-Based Special Allocation Interest</w:t>
      </w:r>
      <w:r>
        <w:rPr>
          <w:rFonts w:ascii="Arial" w:cs="Arial" w:eastAsia="Arial" w:hAnsi="Arial"/>
          <w:sz w:val="17"/>
          <w:szCs w:val="17"/>
          <w:color w:val="auto"/>
        </w:rPr>
        <w:t>. The Strategic Investor(s) holding Asset-Based Special Allocation Interest(s) shall receive,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Asset-Based Special Distributions, in the amount determined pursuant to Section 3.08 on the first day of each calendar quarter.</w:t>
      </w:r>
    </w:p>
    <w:p>
      <w:pPr>
        <w:spacing w:after="0" w:line="146" w:lineRule="exact"/>
        <w:rPr>
          <w:rFonts w:ascii="Arial" w:cs="Arial" w:eastAsia="Arial" w:hAnsi="Arial"/>
          <w:sz w:val="17"/>
          <w:szCs w:val="17"/>
          <w:color w:val="auto"/>
        </w:rPr>
      </w:pPr>
    </w:p>
    <w:p>
      <w:pPr>
        <w:jc w:val="both"/>
        <w:ind w:right="100" w:firstLine="436"/>
        <w:spacing w:after="0" w:line="259" w:lineRule="auto"/>
        <w:tabs>
          <w:tab w:leader="none" w:pos="83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Performance-Based Special Allocation Interest</w:t>
      </w:r>
      <w:r>
        <w:rPr>
          <w:rFonts w:ascii="Arial" w:cs="Arial" w:eastAsia="Arial" w:hAnsi="Arial"/>
          <w:sz w:val="18"/>
          <w:szCs w:val="18"/>
          <w:color w:val="auto"/>
        </w:rPr>
        <w:t>. The Performance-Based Special Allocations shall be deemed to be immediately withdrawn</w:t>
      </w:r>
      <w:r>
        <w:rPr>
          <w:rFonts w:ascii="Arial" w:cs="Arial" w:eastAsia="Arial" w:hAnsi="Arial"/>
          <w:sz w:val="18"/>
          <w:szCs w:val="18"/>
          <w:i w:val="1"/>
          <w:iCs w:val="1"/>
          <w:color w:val="auto"/>
        </w:rPr>
        <w:t xml:space="preserve"> </w:t>
      </w:r>
      <w:r>
        <w:rPr>
          <w:rFonts w:ascii="Arial" w:cs="Arial" w:eastAsia="Arial" w:hAnsi="Arial"/>
          <w:sz w:val="18"/>
          <w:szCs w:val="18"/>
          <w:color w:val="auto"/>
        </w:rPr>
        <w:t>upon being allocated to the Strategic Investor(s) at the end of a Complete Accounting Period, and the Strategic Investor(s) holding Performance-Based Special Allocation Interest(s) shall receive, in cash, distributions in respect of any Performance-Based Special Allocation within five (5) Business Days of the close of each Complete Accounting Period.</w:t>
      </w:r>
    </w:p>
    <w:p>
      <w:pPr>
        <w:sectPr>
          <w:pgSz w:w="11900" w:h="16838" w:orient="portrait"/>
          <w:cols w:equalWidth="0" w:num="1">
            <w:col w:w="11000"/>
          </w:cols>
          <w:pgMar w:left="440" w:top="274" w:right="459" w:bottom="1440" w:gutter="0" w:footer="0" w:header="0"/>
        </w:sectPr>
      </w:pPr>
    </w:p>
    <w:bookmarkStart w:id="49" w:name="page50"/>
    <w:bookmarkEnd w:id="49"/>
    <w:p>
      <w:pPr>
        <w:ind w:right="120" w:firstLine="436"/>
        <w:spacing w:after="0" w:line="311" w:lineRule="auto"/>
        <w:tabs>
          <w:tab w:leader="none" w:pos="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Notwithstanding anything in this Agreement to the contrary, none of the distributions to the Strategic Investor pursuant to this Section 6.06 shall be subject to any suspensions or other limitations on withdrawal, other than as required by applicable law or Section 6.05(d) or Section 4.06(f); </w:t>
      </w:r>
      <w:r>
        <w:rPr>
          <w:rFonts w:ascii="Arial" w:cs="Arial" w:eastAsia="Arial" w:hAnsi="Arial"/>
          <w:sz w:val="16"/>
          <w:szCs w:val="16"/>
          <w:i w:val="1"/>
          <w:iCs w:val="1"/>
          <w:color w:val="auto"/>
        </w:rPr>
        <w:t>provided</w:t>
      </w:r>
      <w:r>
        <w:rPr>
          <w:rFonts w:ascii="Arial" w:cs="Arial" w:eastAsia="Arial" w:hAnsi="Arial"/>
          <w:sz w:val="16"/>
          <w:szCs w:val="16"/>
          <w:color w:val="auto"/>
        </w:rPr>
        <w:t>, that the foregoing shall not limit the liability of the Strategic Investor arising under the Delaware Act and Sections 6.05(d) and 8.06(c).</w:t>
      </w:r>
    </w:p>
    <w:p>
      <w:pPr>
        <w:spacing w:after="0" w:line="149"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Involuntary Withdrawals</w:t>
      </w:r>
      <w:r>
        <w:rPr>
          <w:rFonts w:ascii="Arial" w:cs="Arial" w:eastAsia="Arial" w:hAnsi="Arial"/>
          <w:sz w:val="18"/>
          <w:szCs w:val="18"/>
          <w:color w:val="auto"/>
        </w:rPr>
        <w:t>. The General Partner may, following good-faith consultation with the Investor Limited Partner as to alternatives to withdrawal, require such Limited Partner to withdraw all or any portion of its Capital Account at any time, including during any period during which the Partnership has suspended (i) the determination of the Net Asset Value of the Partnership and/or the Capital Account and/or (ii) the withdrawals at the option of the Limited Partners (either in whole or in part), upon prior written notice. The Partner receiving such notice shall be treated for all purposes and in all respects as a Partner that has given notice of withdrawal of all or part of its Capital Account(s), as the case may be, under Section 6.01.</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Assignment</w:t>
      </w:r>
      <w:r>
        <w:rPr>
          <w:rFonts w:ascii="Arial" w:cs="Arial" w:eastAsia="Arial" w:hAnsi="Arial"/>
          <w:sz w:val="18"/>
          <w:szCs w:val="18"/>
          <w:color w:val="auto"/>
        </w:rPr>
        <w:t>. The interest of a Limited Partner in the Partnership, in whole or in part, or any beneficial interest therein, may not be sold, assigned, transferred, pledged, rehypothecated, or subjected to a security interest (each a “</w:t>
      </w:r>
      <w:r>
        <w:rPr>
          <w:rFonts w:ascii="Arial" w:cs="Arial" w:eastAsia="Arial" w:hAnsi="Arial"/>
          <w:sz w:val="18"/>
          <w:szCs w:val="18"/>
          <w:u w:val="single" w:color="auto"/>
          <w:color w:val="auto"/>
        </w:rPr>
        <w:t>Transfer</w:t>
      </w:r>
      <w:r>
        <w:rPr>
          <w:rFonts w:ascii="Arial" w:cs="Arial" w:eastAsia="Arial" w:hAnsi="Arial"/>
          <w:sz w:val="18"/>
          <w:szCs w:val="18"/>
          <w:color w:val="auto"/>
        </w:rPr>
        <w:t>”) without the prior written consent of the General Partner, such consent not to be unreasonably withheld with respect to any Transfer of all or a portion of the interest of a Limited Partner in the Partnership to any person or entity that is an affiliate of such Limited Partner and is qualified to invest in the Partnership (“</w:t>
      </w:r>
      <w:r>
        <w:rPr>
          <w:rFonts w:ascii="Arial" w:cs="Arial" w:eastAsia="Arial" w:hAnsi="Arial"/>
          <w:sz w:val="18"/>
          <w:szCs w:val="18"/>
          <w:u w:val="single" w:color="auto"/>
          <w:color w:val="auto"/>
        </w:rPr>
        <w:t>Permitted Transferees</w:t>
      </w:r>
      <w:r>
        <w:rPr>
          <w:rFonts w:ascii="Arial" w:cs="Arial" w:eastAsia="Arial" w:hAnsi="Arial"/>
          <w:sz w:val="18"/>
          <w:szCs w:val="18"/>
          <w:color w:val="auto"/>
        </w:rPr>
        <w:t>”), in each case so long as such transfer to a Permitted Transferee would not result in a violation of law. Notwithstanding the foregoing, the Strategic Investor may transfer its interests in the Partnership in accordance with the terms of the Strategic Investor Agreement. Pursuant to the Strategic Investor Agreement, the General Partner has the right to consent to any transferee of the Strategic Investor’s interest in the Partnership who is not affiliated with the Strategic Investor.</w:t>
      </w:r>
    </w:p>
    <w:p>
      <w:pPr>
        <w:spacing w:after="0" w:line="19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Void Assignment</w:t>
      </w:r>
      <w:r>
        <w:rPr>
          <w:rFonts w:ascii="Arial" w:cs="Arial" w:eastAsia="Arial" w:hAnsi="Arial"/>
          <w:sz w:val="18"/>
          <w:szCs w:val="18"/>
          <w:color w:val="auto"/>
        </w:rPr>
        <w:t>. Any Transfer by a Limited Partner of any interest in the Partnership in contravention of Section 7.01 shall be void and ineffectual, and shall not bind or be recognized by the Partnership or any other party. No purported assignee shall have any right to any profits, losses or distributions of the Partnership.</w:t>
      </w:r>
    </w:p>
    <w:p>
      <w:pPr>
        <w:spacing w:after="0" w:line="184"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 xml:space="preserve">7.03. </w:t>
      </w:r>
      <w:r>
        <w:rPr>
          <w:rFonts w:ascii="Arial" w:cs="Arial" w:eastAsia="Arial" w:hAnsi="Arial"/>
          <w:sz w:val="16"/>
          <w:szCs w:val="16"/>
          <w:u w:val="single" w:color="auto"/>
          <w:color w:val="auto"/>
        </w:rPr>
        <w:t>Substituted Limited Partner</w:t>
      </w:r>
      <w:r>
        <w:rPr>
          <w:rFonts w:ascii="Arial" w:cs="Arial" w:eastAsia="Arial" w:hAnsi="Arial"/>
          <w:sz w:val="16"/>
          <w:szCs w:val="16"/>
          <w:color w:val="auto"/>
        </w:rPr>
        <w:t>. Upon a Transfer pursuant to Section 7.01, the transferee shall be admitted as an additional or substitute Limited Partner on request to the Partnership provided that the transferee executes a counterpart to this Agreement, and the Partnership’s subscription agreement, if any, in the form required of investors generally, and that such transferee complies with all reasonably applicable eligibility requirements.</w:t>
      </w:r>
    </w:p>
    <w:p>
      <w:pPr>
        <w:sectPr>
          <w:pgSz w:w="11900" w:h="16838" w:orient="portrait"/>
          <w:cols w:equalWidth="0" w:num="1">
            <w:col w:w="10940"/>
          </w:cols>
          <w:pgMar w:left="440" w:top="274" w:right="519" w:bottom="1440" w:gutter="0" w:footer="0" w:header="0"/>
        </w:sectPr>
      </w:pPr>
    </w:p>
    <w:bookmarkStart w:id="50" w:name="page51"/>
    <w:bookmarkEnd w:id="50"/>
    <w:p>
      <w:pPr>
        <w:ind w:left="440"/>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7.04.</w:t>
      </w:r>
      <w:r>
        <w:rPr>
          <w:sz w:val="20"/>
          <w:szCs w:val="20"/>
          <w:color w:val="auto"/>
        </w:rPr>
        <w:tab/>
      </w:r>
      <w:r>
        <w:rPr>
          <w:rFonts w:ascii="Arial" w:cs="Arial" w:eastAsia="Arial" w:hAnsi="Arial"/>
          <w:sz w:val="16"/>
          <w:szCs w:val="16"/>
          <w:u w:val="single" w:color="auto"/>
          <w:color w:val="auto"/>
        </w:rPr>
        <w:t>Effect of Assignment</w:t>
      </w:r>
      <w:r>
        <w:rPr>
          <w:rFonts w:ascii="Arial" w:cs="Arial" w:eastAsia="Arial" w:hAnsi="Arial"/>
          <w:sz w:val="16"/>
          <w:szCs w:val="16"/>
          <w:color w:val="auto"/>
        </w:rPr>
        <w:t>.</w:t>
      </w:r>
    </w:p>
    <w:p>
      <w:pPr>
        <w:spacing w:after="0" w:line="117" w:lineRule="exact"/>
        <w:rPr>
          <w:sz w:val="20"/>
          <w:szCs w:val="20"/>
          <w:color w:val="auto"/>
        </w:rPr>
      </w:pPr>
    </w:p>
    <w:p>
      <w:pPr>
        <w:ind w:right="180" w:firstLine="436"/>
        <w:spacing w:after="0" w:line="259"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a Limited Partner assigns its entire interest in the Partnership, it shall cease to be a Limited Partner of the Partnership and shall no longer have any rights or privileges of a partner in the Partnership except that, unless and until the assignee of the Limited Partner is admitted as a substituted Limited Partner in accordance with the provisions of Section 7.03, said assigning Limited Partner shall retain the statutory rights and obligations of an assignor partner under applicable law.</w:t>
      </w:r>
    </w:p>
    <w:p>
      <w:pPr>
        <w:spacing w:after="0" w:line="186" w:lineRule="exact"/>
        <w:rPr>
          <w:rFonts w:ascii="Arial" w:cs="Arial" w:eastAsia="Arial" w:hAnsi="Arial"/>
          <w:sz w:val="18"/>
          <w:szCs w:val="18"/>
          <w:color w:val="auto"/>
        </w:rPr>
      </w:pPr>
    </w:p>
    <w:p>
      <w:pPr>
        <w:ind w:right="280" w:firstLine="436"/>
        <w:spacing w:after="0" w:line="311" w:lineRule="auto"/>
        <w:tabs>
          <w:tab w:leader="none" w:pos="8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Person who acquires in any manner whatsoever any interest in the Partnership, irrespective of whether such Person has accepted and adopted in writing the terms and provisions of this Agreement, shall be deemed by the acceptance of the benefits of the acquisition thereof to have agreed to be subject to and bound by all the obligations of this Agreement that any predecessor in interest of such Person was subject to or bound by.</w:t>
      </w:r>
    </w:p>
    <w:p>
      <w:pPr>
        <w:spacing w:after="0" w:line="148" w:lineRule="exact"/>
        <w:rPr>
          <w:rFonts w:ascii="Arial" w:cs="Arial" w:eastAsia="Arial" w:hAnsi="Arial"/>
          <w:sz w:val="16"/>
          <w:szCs w:val="16"/>
          <w:color w:val="auto"/>
        </w:rPr>
      </w:pPr>
    </w:p>
    <w:p>
      <w:pPr>
        <w:ind w:right="20" w:firstLine="436"/>
        <w:spacing w:after="0" w:line="255"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a Limited Partner Transfers any portion of its interest in the Partnership to a Permitted Transferee, the transferee shall be deemed to have been admitted as of the date of the admission of the transferor for purposes of calculating the Performance Allocation and the Performance-Based Special Allocation (for the avoidance of doubt, such Transfer will not be deemed a crystallization event with respect to the Performance Allocation and the Performance-Based Special Allocation), the balance of the Loss Recovery Account (for the avoidance of doubt, the transferee shall be entitled to its ratable share (based on the portion Transferred) of any Loss Recovery Account balance attributable to the transferor immediately prior to the Transfer).</w:t>
      </w:r>
    </w:p>
    <w:p>
      <w:pPr>
        <w:spacing w:after="0" w:line="192"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u w:val="single" w:color="auto"/>
          <w:color w:val="auto"/>
        </w:rPr>
        <w:t>Effect of Bankruptcy</w:t>
      </w:r>
      <w:r>
        <w:rPr>
          <w:rFonts w:ascii="Arial" w:cs="Arial" w:eastAsia="Arial" w:hAnsi="Arial"/>
          <w:sz w:val="18"/>
          <w:szCs w:val="18"/>
          <w:color w:val="auto"/>
        </w:rPr>
        <w:t>. The bankruptcy or dissolution of any Limited Partner shall not dissolve or terminate the Partnership. In the event of such bankruptcy or dissolution, the trustee or other personal representative (the “</w:t>
      </w:r>
      <w:r>
        <w:rPr>
          <w:rFonts w:ascii="Arial" w:cs="Arial" w:eastAsia="Arial" w:hAnsi="Arial"/>
          <w:sz w:val="18"/>
          <w:szCs w:val="18"/>
          <w:u w:val="single" w:color="auto"/>
          <w:color w:val="auto"/>
        </w:rPr>
        <w:t>Representative</w:t>
      </w:r>
      <w:r>
        <w:rPr>
          <w:rFonts w:ascii="Arial" w:cs="Arial" w:eastAsia="Arial" w:hAnsi="Arial"/>
          <w:sz w:val="18"/>
          <w:szCs w:val="18"/>
          <w:color w:val="auto"/>
        </w:rPr>
        <w:t>”) of the bankrupt or dissolved Non-General Partner shall be deemed to be the assignee of the Limited Partner’s interest in the Partnership.</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Assignment by General Partner</w:t>
      </w:r>
      <w:r>
        <w:rPr>
          <w:rFonts w:ascii="Arial" w:cs="Arial" w:eastAsia="Arial" w:hAnsi="Arial"/>
          <w:sz w:val="18"/>
          <w:szCs w:val="18"/>
          <w:color w:val="auto"/>
        </w:rPr>
        <w:t>. The General Partner shall not Transfer any portion of its interest in the Partnership without the prior written consent of the Investor Limited Partner, such consent not to be unreasonably withheld, to a Transfer by the General Partner of its entire interest to an Affiliate.</w:t>
      </w:r>
    </w:p>
    <w:p>
      <w:pPr>
        <w:spacing w:after="0" w:line="29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7.07.</w:t>
      </w:r>
      <w:r>
        <w:rPr>
          <w:sz w:val="20"/>
          <w:szCs w:val="20"/>
          <w:color w:val="auto"/>
        </w:rPr>
        <w:tab/>
      </w:r>
      <w:r>
        <w:rPr>
          <w:rFonts w:ascii="Arial" w:cs="Arial" w:eastAsia="Arial" w:hAnsi="Arial"/>
          <w:sz w:val="16"/>
          <w:szCs w:val="16"/>
          <w:u w:val="single" w:color="auto"/>
          <w:color w:val="auto"/>
        </w:rPr>
        <w:t>Consent to Pledge; Pledge Agreement</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57" w:lineRule="auto"/>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the Partnership and the General Partner hereby gives consent for any Limited Partner to pledge all or some of its interest in the Partnership as collateral to one or more lenders to secure loans to be made by such lender to the Limited Partner from time to time. For the avoidance of doubt, (i) no Strategic Investor shall be required to pledge or grant a security interest in any portion of its Special Allocation Interest or any other interest it may hold in the Partnership and (ii) neither any Partner nor the Partnership may pledge such Special Allocation Interest or any other interest the Strategic Investor may hold in the Partnership.</w:t>
      </w:r>
    </w:p>
    <w:p>
      <w:pPr>
        <w:spacing w:after="0" w:line="187" w:lineRule="exact"/>
        <w:rPr>
          <w:rFonts w:ascii="Arial" w:cs="Arial" w:eastAsia="Arial" w:hAnsi="Arial"/>
          <w:sz w:val="18"/>
          <w:szCs w:val="18"/>
          <w:color w:val="auto"/>
        </w:rPr>
      </w:pPr>
    </w:p>
    <w:p>
      <w:pPr>
        <w:ind w:right="100" w:firstLine="436"/>
        <w:spacing w:after="0" w:line="286" w:lineRule="auto"/>
        <w:tabs>
          <w:tab w:leader="none" w:pos="83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of the Partnership and the General Partner hereby agrees that, in the event that a Limited Partner seeks to pledge all or some of its interest in the Partnership, each of them shall enter into such documentation as may be necessary in order to grant a lien on and security interest in such interest to any lender or collateral agent thereof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which documentation will provide that:</w:t>
      </w:r>
    </w:p>
    <w:p>
      <w:pPr>
        <w:spacing w:after="0" w:line="57" w:lineRule="exact"/>
        <w:rPr>
          <w:rFonts w:ascii="Arial" w:cs="Arial" w:eastAsia="Arial" w:hAnsi="Arial"/>
          <w:sz w:val="17"/>
          <w:szCs w:val="17"/>
          <w:color w:val="auto"/>
        </w:rPr>
      </w:pPr>
    </w:p>
    <w:p>
      <w:pPr>
        <w:ind w:left="1200" w:hanging="341"/>
        <w:spacing w:after="0"/>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Partnership gives consent for the Limited Partner to pledge all of its interest;</w:t>
      </w:r>
    </w:p>
    <w:p>
      <w:pPr>
        <w:sectPr>
          <w:pgSz w:w="11900" w:h="16838" w:orient="portrait"/>
          <w:cols w:equalWidth="0" w:num="1">
            <w:col w:w="11000"/>
          </w:cols>
          <w:pgMar w:left="440" w:top="274" w:right="459" w:bottom="1440" w:gutter="0" w:footer="0" w:header="0"/>
        </w:sectPr>
      </w:pPr>
    </w:p>
    <w:bookmarkStart w:id="51" w:name="page52"/>
    <w:bookmarkEnd w:id="51"/>
    <w:p>
      <w:pPr>
        <w:ind w:left="440" w:right="100" w:firstLine="419"/>
        <w:spacing w:after="0" w:line="308" w:lineRule="auto"/>
        <w:tabs>
          <w:tab w:leader="none" w:pos="1263" w:val="left"/>
        </w:tabs>
        <w:numPr>
          <w:ilvl w:val="0"/>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Collateral Agent, in each case upon delivery of written notice to the Partnership of an event of default under the Limited Partner’s financing facility with the banks (a “</w:t>
      </w:r>
      <w:r>
        <w:rPr>
          <w:rFonts w:ascii="Arial" w:cs="Arial" w:eastAsia="Arial" w:hAnsi="Arial"/>
          <w:sz w:val="17"/>
          <w:szCs w:val="17"/>
          <w:u w:val="single" w:color="auto"/>
          <w:color w:val="auto"/>
        </w:rPr>
        <w:t>Default Notice</w:t>
      </w:r>
      <w:r>
        <w:rPr>
          <w:rFonts w:ascii="Arial" w:cs="Arial" w:eastAsia="Arial" w:hAnsi="Arial"/>
          <w:sz w:val="17"/>
          <w:szCs w:val="17"/>
          <w:color w:val="auto"/>
        </w:rPr>
        <w:t>”), will have the ability, subject to compliance with applicable law, to:</w:t>
      </w:r>
    </w:p>
    <w:p>
      <w:pPr>
        <w:spacing w:after="0" w:line="38" w:lineRule="exact"/>
        <w:rPr>
          <w:sz w:val="20"/>
          <w:szCs w:val="20"/>
          <w:color w:val="auto"/>
        </w:rPr>
      </w:pPr>
    </w:p>
    <w:p>
      <w:pPr>
        <w:ind w:left="1240" w:hanging="381"/>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withdraw capital from the Partnership (in the same manner and schedule as the Limited Partner),</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sell interests in the Partnership in accordance with the Partnership’s governing documents relating to transfers,</w:t>
      </w:r>
    </w:p>
    <w:p>
      <w:pPr>
        <w:spacing w:after="0" w:line="117" w:lineRule="exact"/>
        <w:rPr>
          <w:rFonts w:ascii="Arial" w:cs="Arial" w:eastAsia="Arial" w:hAnsi="Arial"/>
          <w:sz w:val="18"/>
          <w:szCs w:val="18"/>
          <w:color w:val="auto"/>
        </w:rPr>
      </w:pPr>
    </w:p>
    <w:p>
      <w:pPr>
        <w:ind w:left="440" w:firstLine="419"/>
        <w:spacing w:after="0" w:line="277" w:lineRule="auto"/>
        <w:tabs>
          <w:tab w:leader="none" w:pos="12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become or appoint a nominee to become a Partner of the Partnership;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nominee shall execute a counterpart to this Agreement, and</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2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enforce the terms of and benefit from any side letter or similar agreement between the Partnership and/or the General Partner and the Limited Partner;</w:t>
      </w:r>
    </w:p>
    <w:p>
      <w:pPr>
        <w:spacing w:after="0" w:line="62" w:lineRule="exact"/>
        <w:rPr>
          <w:sz w:val="20"/>
          <w:szCs w:val="20"/>
          <w:color w:val="auto"/>
        </w:rPr>
      </w:pPr>
    </w:p>
    <w:p>
      <w:pPr>
        <w:ind w:left="440" w:right="120" w:firstLine="419"/>
        <w:spacing w:after="0" w:line="277" w:lineRule="auto"/>
        <w:tabs>
          <w:tab w:leader="none" w:pos="131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Limited Partner will instruct the Partnership and the Partnership will agree to comply with instructions from the Collateral Agent and not the Limited Partner upon receipt of a Default Notice from the Collateral Agent;</w:t>
      </w:r>
    </w:p>
    <w:p>
      <w:pPr>
        <w:spacing w:after="0" w:line="62" w:lineRule="exact"/>
        <w:rPr>
          <w:rFonts w:ascii="Arial" w:cs="Arial" w:eastAsia="Arial" w:hAnsi="Arial"/>
          <w:sz w:val="18"/>
          <w:szCs w:val="18"/>
          <w:color w:val="auto"/>
        </w:rPr>
      </w:pPr>
    </w:p>
    <w:p>
      <w:pPr>
        <w:ind w:left="440" w:right="520" w:firstLine="419"/>
        <w:spacing w:after="0" w:line="277" w:lineRule="auto"/>
        <w:tabs>
          <w:tab w:leader="none" w:pos="130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Partnership agrees to make basic limited representations to the Collateral Agent about itself and about the Limited Partner’s investment in the Partnership;</w:t>
      </w:r>
    </w:p>
    <w:p>
      <w:pPr>
        <w:spacing w:after="0" w:line="62" w:lineRule="exact"/>
        <w:rPr>
          <w:rFonts w:ascii="Arial" w:cs="Arial" w:eastAsia="Arial" w:hAnsi="Arial"/>
          <w:sz w:val="18"/>
          <w:szCs w:val="18"/>
          <w:color w:val="auto"/>
        </w:rPr>
      </w:pPr>
    </w:p>
    <w:p>
      <w:pPr>
        <w:ind w:left="440" w:right="120" w:firstLine="419"/>
        <w:spacing w:after="0" w:line="308" w:lineRule="auto"/>
        <w:tabs>
          <w:tab w:leader="none" w:pos="12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Limited Partner will instruct the Partnership and the Partnership will agree to send all monies due to the Limited Partner to a bank account designated by the Collateral Agent and not to change such payment procedures without the consent of the Collateral Agent;</w:t>
      </w:r>
    </w:p>
    <w:p>
      <w:pPr>
        <w:spacing w:after="0" w:line="38" w:lineRule="exact"/>
        <w:rPr>
          <w:rFonts w:ascii="Arial" w:cs="Arial" w:eastAsia="Arial" w:hAnsi="Arial"/>
          <w:sz w:val="17"/>
          <w:szCs w:val="17"/>
          <w:color w:val="auto"/>
        </w:rPr>
      </w:pPr>
    </w:p>
    <w:p>
      <w:pPr>
        <w:jc w:val="both"/>
        <w:ind w:left="440" w:right="260" w:firstLine="419"/>
        <w:spacing w:after="0" w:line="263" w:lineRule="auto"/>
        <w:tabs>
          <w:tab w:leader="none" w:pos="130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Limited Partner will instruct the Partnership and the Partnership will agree to send to the Collateral Agent copies of all notices, statements of account (other than position level data), reports, prospectuses, financial statements and other communications sent to the Limited Partner in respect of the Partnership;</w:t>
      </w:r>
    </w:p>
    <w:p>
      <w:pPr>
        <w:spacing w:after="0" w:line="75" w:lineRule="exact"/>
        <w:rPr>
          <w:rFonts w:ascii="Arial" w:cs="Arial" w:eastAsia="Arial" w:hAnsi="Arial"/>
          <w:sz w:val="18"/>
          <w:szCs w:val="18"/>
          <w:color w:val="auto"/>
        </w:rPr>
      </w:pPr>
    </w:p>
    <w:p>
      <w:pPr>
        <w:ind w:left="440" w:right="460" w:firstLine="419"/>
        <w:spacing w:after="0" w:line="277" w:lineRule="auto"/>
        <w:tabs>
          <w:tab w:leader="none" w:pos="13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Limited Partner will instruct the Partnership and the Partnership will agree, upon receipt of conflicting instructions from the Limited Partner and the Collateral Agent, to follow the instructions of the Collateral Agent; and</w:t>
      </w:r>
    </w:p>
    <w:p>
      <w:pPr>
        <w:spacing w:after="0" w:line="62" w:lineRule="exact"/>
        <w:rPr>
          <w:rFonts w:ascii="Arial" w:cs="Arial" w:eastAsia="Arial" w:hAnsi="Arial"/>
          <w:sz w:val="18"/>
          <w:szCs w:val="18"/>
          <w:color w:val="auto"/>
        </w:rPr>
      </w:pPr>
    </w:p>
    <w:p>
      <w:pPr>
        <w:ind w:left="440" w:right="180" w:firstLine="419"/>
        <w:spacing w:after="0" w:line="277" w:lineRule="auto"/>
        <w:tabs>
          <w:tab w:leader="none" w:pos="140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Limited Partner will instruct the Partnership and the Partnership will agree, upon a default, to permit the Collateral Agent to be appointed as the Limited Partner’s proxy to vote the Limited Partner’s interests in the Partnership.</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u w:val="single" w:color="auto"/>
          <w:color w:val="auto"/>
        </w:rPr>
        <w:t>Consent to Disclosure to Financing Parties</w:t>
      </w:r>
      <w:r>
        <w:rPr>
          <w:rFonts w:ascii="Arial" w:cs="Arial" w:eastAsia="Arial" w:hAnsi="Arial"/>
          <w:sz w:val="18"/>
          <w:szCs w:val="18"/>
          <w:color w:val="auto"/>
        </w:rPr>
        <w:t>. Notwithstanding anything to the contrary herein, each of the Partnership and the General Partner hereby consents to any Limited Partner’s disclosure and disclosure by any of its affiliates and subsidiaries of the various documents (including agreements) relating to such Limited Partner’s interest in the Partnership and any other information it has received as an investor in the Partnership to any financial institution providing or contemplating providing financing to such Limited Partner (collectively, the “</w:t>
      </w:r>
      <w:r>
        <w:rPr>
          <w:rFonts w:ascii="Arial" w:cs="Arial" w:eastAsia="Arial" w:hAnsi="Arial"/>
          <w:sz w:val="18"/>
          <w:szCs w:val="18"/>
          <w:u w:val="single" w:color="auto"/>
          <w:color w:val="auto"/>
        </w:rPr>
        <w:t>Financing Parties</w:t>
      </w:r>
      <w:r>
        <w:rPr>
          <w:rFonts w:ascii="Arial" w:cs="Arial" w:eastAsia="Arial" w:hAnsi="Arial"/>
          <w:sz w:val="18"/>
          <w:szCs w:val="18"/>
          <w:color w:val="auto"/>
        </w:rPr>
        <w:t>”), notwithstanding any agreement to the contrary but subject to Section 10.12.</w:t>
      </w:r>
    </w:p>
    <w:p>
      <w:pPr>
        <w:sectPr>
          <w:pgSz w:w="11900" w:h="16838" w:orient="portrait"/>
          <w:cols w:equalWidth="0" w:num="1">
            <w:col w:w="10980"/>
          </w:cols>
          <w:pgMar w:left="440" w:top="274" w:right="4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Books and Records</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Partnership (the “</w:t>
      </w:r>
      <w:r>
        <w:rPr>
          <w:rFonts w:ascii="Arial" w:cs="Arial" w:eastAsia="Arial" w:hAnsi="Arial"/>
          <w:sz w:val="18"/>
          <w:szCs w:val="18"/>
          <w:u w:val="single" w:color="auto"/>
          <w:color w:val="auto"/>
        </w:rPr>
        <w:t>Fiscal Year</w:t>
      </w:r>
      <w:r>
        <w:rPr>
          <w:rFonts w:ascii="Arial" w:cs="Arial" w:eastAsia="Arial" w:hAnsi="Arial"/>
          <w:sz w:val="18"/>
          <w:szCs w:val="18"/>
          <w:color w:val="auto"/>
        </w:rPr>
        <w:t>”) shall be the calendar year, and such fiscal period shall be the taxable period of the Partnership for federal income tax purposes, except as provided in Section 706 of the Code.</w:t>
      </w:r>
    </w:p>
    <w:p>
      <w:pPr>
        <w:spacing w:after="0" w:line="170"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8.02. </w:t>
      </w:r>
      <w:r>
        <w:rPr>
          <w:rFonts w:ascii="Arial" w:cs="Arial" w:eastAsia="Arial" w:hAnsi="Arial"/>
          <w:sz w:val="16"/>
          <w:szCs w:val="16"/>
          <w:u w:val="single" w:color="auto"/>
          <w:color w:val="auto"/>
        </w:rPr>
        <w:t>Books and Records</w:t>
      </w:r>
      <w:r>
        <w:rPr>
          <w:rFonts w:ascii="Arial" w:cs="Arial" w:eastAsia="Arial" w:hAnsi="Arial"/>
          <w:sz w:val="16"/>
          <w:szCs w:val="16"/>
          <w:color w:val="auto"/>
        </w:rPr>
        <w:t xml:space="preserve">. At all times during the continuance of the Partnership, the General Partner shall keep or cause to be kept full and true books of account of the business and investments of the Partnership, in which shall be entered fully and accurately each transaction of the Partnership. The books and records of the Partnership, including for the avoidance of doubt, any trade history or position level data of the Partnership (subject to redacting trade history or position level information of any Other Accounts) to the extent required by the Investor Limited Partner’s mandatory reporting requirements, together with an executed copy of the Certificate of Formation and any amendments thereto, shall at all times be maintained at an office of the Partnership or an office of the Administrator. Each Limited Partner and its representatives shall, during normal business hours, have access to the books of the Partnership for the purpose of inspecting the same,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foregoing shall be subject to Section 10.12 and (ii) prior written notice shall be provided to the General Partner at least five (5) Business Days prior to such requested date of access.</w:t>
      </w:r>
    </w:p>
    <w:p>
      <w:pPr>
        <w:spacing w:after="0" w:line="27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6"/>
          <w:szCs w:val="16"/>
          <w:u w:val="single" w:color="auto"/>
          <w:color w:val="auto"/>
        </w:rPr>
        <w:t>Financial Reports</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69" w:lineRule="auto"/>
        <w:tabs>
          <w:tab w:leader="none" w:pos="817"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General Partner shall cause to be prepared and delivered to the Limited Partners annual financial statements of the Partnership that have been audited by an independent public accounting firm selected from time to time by the General Partner and generally prepared in accordance with United States generally accepted accounting principles. The General Partner shall use best efforts to deliver such financials to the Limited Partners no later than the 90th calendar day following the last day of each calendar year. The General Partner shall use commercially reasonable efforts to furnish or cause to be furnished to each Limited Partner an estimated form K-1 no later than the 60th calendar day following the last day of each calendar year and shall use best efforts to furnish a final K-1 no later than the 90th calendar day following the last day of each calendar year. In addition, the General Partner shall use commercially reasonable efforts to furnish or cause to be furnished to each Limited Partner within 15 days following the end of each calendar quarter, a written statement which sets forth a reasonable estimate of such Limited Partner’s pro rata share of the Partnership’s net profit and net loss and any other items of income, gain, loss and deduction for such quarter (including separate calculations of realized gains and losses and unrealized gains and losses).</w:t>
      </w:r>
    </w:p>
    <w:p>
      <w:pPr>
        <w:sectPr>
          <w:pgSz w:w="11900" w:h="16838" w:orient="portrait"/>
          <w:cols w:equalWidth="0" w:num="1">
            <w:col w:w="11020"/>
          </w:cols>
          <w:pgMar w:left="440" w:top="270" w:right="439" w:bottom="1440" w:gutter="0" w:footer="0" w:header="0"/>
        </w:sectPr>
      </w:pPr>
    </w:p>
    <w:bookmarkStart w:id="53" w:name="page54"/>
    <w:bookmarkEnd w:id="53"/>
    <w:p>
      <w:pPr>
        <w:ind w:left="4" w:right="20" w:firstLine="436"/>
        <w:spacing w:after="0" w:line="279" w:lineRule="auto"/>
        <w:tabs>
          <w:tab w:leader="none" w:pos="831" w:val="left"/>
        </w:tabs>
        <w:numPr>
          <w:ilvl w:val="1"/>
          <w:numId w:val="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General Partner shall provide to each Partner a monthly report setting forth the Partnership’s estimated month-end net asset value and such Partner’s estimated Capital Account balance within three (3) Business Days of the applicable month end and the final month-end net asset value for the Partnership and such Partner’s final Capital Account balance within six (6) Business Days of the applicable month end of such month. Such reports will reflect gross and net performance for the month-end, quarter-end, year-to-date, and inception-to date.</w:t>
      </w:r>
    </w:p>
    <w:p>
      <w:pPr>
        <w:spacing w:after="0" w:line="171" w:lineRule="exact"/>
        <w:rPr>
          <w:rFonts w:ascii="Arial" w:cs="Arial" w:eastAsia="Arial" w:hAnsi="Arial"/>
          <w:sz w:val="17"/>
          <w:szCs w:val="17"/>
          <w:color w:val="auto"/>
        </w:rPr>
      </w:pPr>
    </w:p>
    <w:p>
      <w:pPr>
        <w:ind w:left="824" w:hanging="384"/>
        <w:spacing w:after="0"/>
        <w:tabs>
          <w:tab w:leader="none" w:pos="824"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General Partner shall give prompt written notice to the Limited Partners of a Key Man Event.</w:t>
      </w:r>
    </w:p>
    <w:p>
      <w:pPr>
        <w:spacing w:after="0" w:line="225" w:lineRule="exact"/>
        <w:rPr>
          <w:rFonts w:ascii="Arial" w:cs="Arial" w:eastAsia="Arial" w:hAnsi="Arial"/>
          <w:sz w:val="18"/>
          <w:szCs w:val="18"/>
          <w:color w:val="auto"/>
        </w:rPr>
      </w:pPr>
    </w:p>
    <w:p>
      <w:pPr>
        <w:ind w:left="4" w:right="900" w:firstLine="436"/>
        <w:spacing w:after="0" w:line="277" w:lineRule="auto"/>
        <w:tabs>
          <w:tab w:leader="none" w:pos="831"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General Partner shall make the Principal reasonably available to consult periodically with the Limited Partners regarding the Partnership.</w:t>
      </w:r>
    </w:p>
    <w:p>
      <w:pPr>
        <w:spacing w:after="0" w:line="170" w:lineRule="exact"/>
        <w:rPr>
          <w:rFonts w:ascii="Arial" w:cs="Arial" w:eastAsia="Arial" w:hAnsi="Arial"/>
          <w:sz w:val="18"/>
          <w:szCs w:val="18"/>
          <w:color w:val="auto"/>
        </w:rPr>
      </w:pPr>
    </w:p>
    <w:p>
      <w:pPr>
        <w:ind w:left="4" w:firstLine="436"/>
        <w:spacing w:after="0" w:line="285" w:lineRule="auto"/>
        <w:tabs>
          <w:tab w:leader="none" w:pos="821"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The General Partner shall furnish such information as a Limited Partner may reasonably request to monitor compliance with the requirements of Section 3.02 and Section 3.06 hereof. Notwithstanding anything in this Agreement to the contrary, the Limited Partners shall not have access to any trade history or position level data of the Partnership;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trade history or position level data of the Partnership shall be made available to a Limited Partner (i) as required by applicable law or legal regulation or requested in connection with any subpoena, investigation, or other similar governmental or regulatory process, which, unless otherwise required, shall be made available on a thirty (30) day lagged basis and (ii) on a thirty</w:t>
      </w:r>
    </w:p>
    <w:p>
      <w:pPr>
        <w:spacing w:after="0" w:line="1" w:lineRule="exact"/>
        <w:rPr>
          <w:rFonts w:ascii="Arial" w:cs="Arial" w:eastAsia="Arial" w:hAnsi="Arial"/>
          <w:sz w:val="16"/>
          <w:szCs w:val="16"/>
          <w:color w:val="auto"/>
        </w:rPr>
      </w:pPr>
    </w:p>
    <w:p>
      <w:pPr>
        <w:ind w:left="344" w:hanging="344"/>
        <w:spacing w:after="0"/>
        <w:tabs>
          <w:tab w:leader="none" w:pos="344" w:val="left"/>
        </w:tabs>
        <w:numPr>
          <w:ilvl w:val="0"/>
          <w:numId w:val="68"/>
        </w:numPr>
        <w:rPr>
          <w:rFonts w:ascii="Arial" w:cs="Arial" w:eastAsia="Arial" w:hAnsi="Arial"/>
          <w:sz w:val="16"/>
          <w:szCs w:val="16"/>
          <w:color w:val="auto"/>
        </w:rPr>
      </w:pPr>
      <w:r>
        <w:rPr>
          <w:rFonts w:ascii="Arial" w:cs="Arial" w:eastAsia="Arial" w:hAnsi="Arial"/>
          <w:sz w:val="16"/>
          <w:szCs w:val="16"/>
          <w:color w:val="auto"/>
        </w:rPr>
        <w:t>day lagged basis to the extent required in connection with any audit of such Limited Partner or for tax reporting or regulatory compliance purposes.</w:t>
      </w:r>
    </w:p>
    <w:p>
      <w:pPr>
        <w:spacing w:after="0" w:line="233" w:lineRule="exact"/>
        <w:rPr>
          <w:rFonts w:ascii="Arial" w:cs="Arial" w:eastAsia="Arial" w:hAnsi="Arial"/>
          <w:sz w:val="16"/>
          <w:szCs w:val="16"/>
          <w:color w:val="auto"/>
        </w:rPr>
      </w:pPr>
    </w:p>
    <w:p>
      <w:pPr>
        <w:ind w:left="4" w:right="140" w:firstLine="436"/>
        <w:spacing w:after="0" w:line="257" w:lineRule="auto"/>
        <w:tabs>
          <w:tab w:leader="none" w:pos="801"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General Partner shall retain, for a period of at least seven (7) years, copies of any documents generated or received by the General Partner in the ordinary course of business pertaining to the financial condition of the Partnership or to the compensation payable to the General Partner. At the request of a Limited Partner, the General Partner shall afford to such Limited Partner or to such Limited Partner’s independent auditors reasonable access to such documents during customary business hours and shall permit the Limited Partner or the Limited Partner’s auditors to make copies thereof or extracts therefrom at the expense of the Limited Partner.</w:t>
      </w:r>
    </w:p>
    <w:p>
      <w:pPr>
        <w:spacing w:after="0" w:line="187" w:lineRule="exact"/>
        <w:rPr>
          <w:rFonts w:ascii="Arial" w:cs="Arial" w:eastAsia="Arial" w:hAnsi="Arial"/>
          <w:sz w:val="18"/>
          <w:szCs w:val="18"/>
          <w:color w:val="auto"/>
        </w:rPr>
      </w:pPr>
    </w:p>
    <w:p>
      <w:pPr>
        <w:ind w:left="4" w:right="140" w:firstLine="436"/>
        <w:spacing w:after="0" w:line="301" w:lineRule="auto"/>
        <w:tabs>
          <w:tab w:leader="none" w:pos="824"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Limited Partner may request additional information regarding the Partnership (and to the extent reasonably related to its investment in the Partnership, the General Partner or its Affiliates) from time to time from the General Partner and the General Partner shall use commercially reasonable efforts to provide such additional information in a timely manner. In particular, the General Partner and the Partnership shall use best efforts to provide information that is required by the Investor Limited Partner to meet the Investor Limited Partner’s public company reporting requirements.</w:t>
      </w:r>
    </w:p>
    <w:p>
      <w:pPr>
        <w:spacing w:after="0" w:line="157" w:lineRule="exact"/>
        <w:rPr>
          <w:rFonts w:ascii="Arial" w:cs="Arial" w:eastAsia="Arial" w:hAnsi="Arial"/>
          <w:sz w:val="16"/>
          <w:szCs w:val="16"/>
          <w:color w:val="auto"/>
        </w:rPr>
      </w:pPr>
    </w:p>
    <w:p>
      <w:pPr>
        <w:ind w:left="4" w:right="40" w:firstLine="436"/>
        <w:spacing w:after="0" w:line="296" w:lineRule="auto"/>
        <w:tabs>
          <w:tab w:leader="none" w:pos="831"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General Partner shall promptly notify each Limited Partner, to the extent legally permissible, of (i) any proceeding (including, without limitation, an arrest, complaint, or indictment) brought by a governmental agency, regulatory authority or self-regulatory organization of which the General Partner or any of its Affiliates is the subject; or (ii) any litigation or arbitration brought by any third person, that (in the case of clause (i) or (ii)) alleges the General Partner or any of its affiliates is or was (x) acting in a manner that constitutes fraud, gross negligence, willful misconduct or a breach of fiduciary duty, (y) failing to act where action would have been required to avoid fraud, gross negligence, willful misconduct or a breach of fiduciary</w:t>
      </w:r>
    </w:p>
    <w:p>
      <w:pPr>
        <w:sectPr>
          <w:pgSz w:w="11900" w:h="16838" w:orient="portrait"/>
          <w:cols w:equalWidth="0" w:num="1">
            <w:col w:w="11024"/>
          </w:cols>
          <w:pgMar w:left="436" w:top="274" w:right="439" w:bottom="1440" w:gutter="0" w:footer="0" w:header="0"/>
        </w:sectPr>
      </w:pPr>
    </w:p>
    <w:bookmarkStart w:id="54" w:name="page55"/>
    <w:bookmarkEnd w:id="54"/>
    <w:p>
      <w:pPr>
        <w:ind w:left="4"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duty and/or (z) committing a felony or a material securities or commodities regulation violation. Upon request, to the extent legally permissible, the General Partner will provide each Limited Partner with reasonably detailed information about any such action.</w:t>
      </w:r>
    </w:p>
    <w:p>
      <w:pPr>
        <w:spacing w:after="0" w:line="170" w:lineRule="exact"/>
        <w:rPr>
          <w:sz w:val="20"/>
          <w:szCs w:val="20"/>
          <w:color w:val="auto"/>
        </w:rPr>
      </w:pPr>
    </w:p>
    <w:p>
      <w:pPr>
        <w:ind w:left="4" w:firstLine="436"/>
        <w:spacing w:after="0" w:line="284" w:lineRule="auto"/>
        <w:tabs>
          <w:tab w:leader="none" w:pos="791"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General Partner shall promptly notify all Limited Partners in writing of (i) any occurrence of Cause; (ii) to the extent disclosure is legally permissible, the General Partner having received notice that a principal, partner, member, equity holder, director, officer or employee of the General Partner is (A) a named party to any litigation or proceeding alleging violation of any applicable anti-corruption law or regulation or (B) named, or the Strategic Investor is named, on the laws, orders or regulations administered by OFAC or any similar list; (iii) to the extent disclosure is legally permissible, the General Partner having received notice that there is an action, suit, proceeding or investigation before or by any court, governmental, regulatory or self-regulatory or exchange body to which the General Partner or any of its principals is a party, which, in each case, could reasonably be expected to result in a material adverse effect (including, without limitation, any material adverse change in the condition of the General Partner and its principals) on the ability of the General Partner or any of its principals to perform its or their respective responsibilities under this Agreement; or</w:t>
      </w:r>
    </w:p>
    <w:p>
      <w:pPr>
        <w:ind w:left="4" w:hanging="4"/>
        <w:spacing w:after="0" w:line="302" w:lineRule="auto"/>
        <w:tabs>
          <w:tab w:leader="none" w:pos="309"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direct or indirect transfer of ownership of economic or voting interests in the General Partner or the Investment Manager, excluding any transfer for estate planning purposes and transfers of non-voting interests among employees of the Investment Manager and its Affiliates. The General Partner represents and warrants on behalf of itself and the Investment Manager that, as of the date hereof, none of the foregoing has occurred and is continuing.</w:t>
      </w:r>
    </w:p>
    <w:p>
      <w:pPr>
        <w:spacing w:after="0" w:line="155" w:lineRule="exact"/>
        <w:rPr>
          <w:sz w:val="20"/>
          <w:szCs w:val="20"/>
          <w:color w:val="auto"/>
        </w:rPr>
      </w:pPr>
    </w:p>
    <w:p>
      <w:pPr>
        <w:ind w:left="4" w:right="40" w:firstLine="436"/>
        <w:spacing w:after="0" w:line="271" w:lineRule="auto"/>
        <w:tabs>
          <w:tab w:leader="none" w:pos="794"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Unless otherwise restricted by law, all reports, financial statements and other information may be delivered to the Limited Partners electronically. The Partnership reserves the right to make interim reports available solely in electronic form on the web site of the Partnership or its Administrator, and each Limited Partner hereby agrees to accept such electronic delivery in satisfaction of any regulatory requirements under any applicable law; </w:t>
      </w:r>
      <w:r>
        <w:rPr>
          <w:rFonts w:ascii="Arial" w:cs="Arial" w:eastAsia="Arial" w:hAnsi="Arial"/>
          <w:sz w:val="17"/>
          <w:szCs w:val="17"/>
          <w:i w:val="1"/>
          <w:iCs w:val="1"/>
          <w:color w:val="auto"/>
        </w:rPr>
        <w:t>provided</w:t>
      </w:r>
      <w:r>
        <w:rPr>
          <w:rFonts w:ascii="Arial" w:cs="Arial" w:eastAsia="Arial" w:hAnsi="Arial"/>
          <w:sz w:val="17"/>
          <w:szCs w:val="17"/>
          <w:color w:val="auto"/>
        </w:rPr>
        <w:t>, that, in each case such documents will be provided in a printable, downloadable format. Any “clickwrap” or “clickthrough” agreement that the Investor Limited Partner may be required to agree to in order to access any website maintained by Partnership, the Administrator or any of their Affiliates for the purpose of making certain documents available or delivering notices shall be subject to the provisions of this Agreement (including, without limitation, with respect to confidentiality), and any conflict between the terms set forth in this Agreement, and any such “clickwrap” or “clickthrough” agreement shall be governed by the terms of this Agreement.</w:t>
      </w:r>
    </w:p>
    <w:p>
      <w:pPr>
        <w:spacing w:after="0" w:line="178" w:lineRule="exact"/>
        <w:rPr>
          <w:rFonts w:ascii="Arial" w:cs="Arial" w:eastAsia="Arial" w:hAnsi="Arial"/>
          <w:sz w:val="17"/>
          <w:szCs w:val="17"/>
          <w:color w:val="auto"/>
        </w:rPr>
      </w:pPr>
    </w:p>
    <w:p>
      <w:pPr>
        <w:ind w:left="4" w:right="120" w:firstLine="436"/>
        <w:spacing w:after="0" w:line="263" w:lineRule="auto"/>
        <w:tabs>
          <w:tab w:leader="none" w:pos="8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Strategic Investor shall receive additional information rights in respect of the Partnership in accordance with the terms of the Strategic Investor Agreement. The General Partner hereby represents and warrants to the Limited Partners that such information will not include any personal or proprietary information pertaining to any Limited Partner.</w:t>
      </w:r>
    </w:p>
    <w:p>
      <w:pPr>
        <w:spacing w:after="0" w:line="183" w:lineRule="exact"/>
        <w:rPr>
          <w:rFonts w:ascii="Arial" w:cs="Arial" w:eastAsia="Arial" w:hAnsi="Arial"/>
          <w:sz w:val="18"/>
          <w:szCs w:val="18"/>
          <w:color w:val="auto"/>
        </w:rPr>
      </w:pPr>
    </w:p>
    <w:p>
      <w:pPr>
        <w:ind w:left="4" w:right="680" w:firstLine="436"/>
        <w:spacing w:after="0" w:line="277" w:lineRule="auto"/>
        <w:tabs>
          <w:tab w:leader="none" w:pos="79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General Partner shall furnish to each Limited Partner a copy of its Form ADV Part 2A, and any amendments thereto, as soon as practicable after filing with the Securities and Exchange Commission.</w:t>
      </w:r>
    </w:p>
    <w:p>
      <w:pPr>
        <w:sectPr>
          <w:pgSz w:w="11900" w:h="16838" w:orient="portrait"/>
          <w:cols w:equalWidth="0" w:num="1">
            <w:col w:w="10984"/>
          </w:cols>
          <w:pgMar w:left="436" w:top="274" w:right="479" w:bottom="1440" w:gutter="0" w:footer="0" w:header="0"/>
        </w:sectPr>
      </w:pPr>
    </w:p>
    <w:bookmarkStart w:id="55" w:name="page56"/>
    <w:bookmarkEnd w:id="55"/>
    <w:p>
      <w:pPr>
        <w:ind w:right="580" w:firstLine="436"/>
        <w:spacing w:after="0" w:line="277" w:lineRule="auto"/>
        <w:tabs>
          <w:tab w:leader="none" w:pos="877"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Within five (5) Business Days following the end of each month the General Partner shall notify all Limited Partners in writing of the Investment Manager’s total assets under management as of the first day of the current month.</w:t>
      </w:r>
    </w:p>
    <w:p>
      <w:pPr>
        <w:spacing w:after="0" w:line="170" w:lineRule="exact"/>
        <w:rPr>
          <w:rFonts w:ascii="Arial" w:cs="Arial" w:eastAsia="Arial" w:hAnsi="Arial"/>
          <w:sz w:val="18"/>
          <w:szCs w:val="18"/>
          <w:color w:val="auto"/>
        </w:rPr>
      </w:pPr>
    </w:p>
    <w:p>
      <w:pPr>
        <w:ind w:right="320" w:firstLine="436"/>
        <w:spacing w:after="0" w:line="277" w:lineRule="auto"/>
        <w:tabs>
          <w:tab w:leader="none" w:pos="8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General Partner shall provide notifications in connection with reserves and changes to the Valuation Policy and the Trade Allocation Policy as specified Sections 4.06(f), 4.07 and 3.06.</w:t>
      </w:r>
    </w:p>
    <w:p>
      <w:pPr>
        <w:spacing w:after="0" w:line="170"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8.04. </w:t>
      </w:r>
      <w:r>
        <w:rPr>
          <w:rFonts w:ascii="Arial" w:cs="Arial" w:eastAsia="Arial" w:hAnsi="Arial"/>
          <w:sz w:val="18"/>
          <w:szCs w:val="18"/>
          <w:u w:val="single" w:color="auto"/>
          <w:color w:val="auto"/>
        </w:rPr>
        <w:t>Bank Accounts and Custodian; Service Providers</w:t>
      </w:r>
      <w:r>
        <w:rPr>
          <w:rFonts w:ascii="Arial" w:cs="Arial" w:eastAsia="Arial" w:hAnsi="Arial"/>
          <w:sz w:val="18"/>
          <w:szCs w:val="18"/>
          <w:color w:val="auto"/>
        </w:rPr>
        <w:t>. The bank accounts of the Partnership shall be maintained in such banking institutions as the General Partner shall determine, and withdrawals shall be made therefrom on such signature or signatures as the General Partner shall determine. All assets of the Partnership may be held by one or more custodians appointed by the General Partner, and may be registered in the name of the Partnership, such custodian or a nominee. The terms of a custodian agreement shall be determined by the General Partner. Consent of the Investor Limited Partner shall be required in connection with utilizing any banking institutions, custodians, prime brokers, the Administrator or auditors other than those utilized by the Sarissa Funds, and the General Partner shall provide the Investor Limited Partner notice in the event the Sarissa Funds change one or more such service providers.</w:t>
      </w:r>
    </w:p>
    <w:p>
      <w:pPr>
        <w:spacing w:after="0" w:line="19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8.05. </w:t>
      </w:r>
      <w:r>
        <w:rPr>
          <w:rFonts w:ascii="Arial" w:cs="Arial" w:eastAsia="Arial" w:hAnsi="Arial"/>
          <w:sz w:val="18"/>
          <w:szCs w:val="18"/>
          <w:u w:val="single" w:color="auto"/>
          <w:color w:val="auto"/>
        </w:rPr>
        <w:t>Tax Returns</w:t>
      </w:r>
      <w:r>
        <w:rPr>
          <w:rFonts w:ascii="Arial" w:cs="Arial" w:eastAsia="Arial" w:hAnsi="Arial"/>
          <w:sz w:val="18"/>
          <w:szCs w:val="18"/>
          <w:color w:val="auto"/>
        </w:rPr>
        <w:t>. The General Partner shall prepare and timely file, or cause the accountants of the Partnership to prepare and timely file, a Federal income tax return in compliance with Code Section 6031, and any required state and local income tax and information returns for each tax year of the Partnership.</w:t>
      </w:r>
    </w:p>
    <w:p>
      <w:pPr>
        <w:spacing w:after="0" w:line="29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8.06.</w:t>
      </w:r>
      <w:r>
        <w:rPr>
          <w:sz w:val="20"/>
          <w:szCs w:val="20"/>
          <w:color w:val="auto"/>
        </w:rPr>
        <w:tab/>
      </w:r>
      <w:r>
        <w:rPr>
          <w:rFonts w:ascii="Arial" w:cs="Arial" w:eastAsia="Arial" w:hAnsi="Arial"/>
          <w:sz w:val="15"/>
          <w:szCs w:val="15"/>
          <w:u w:val="single" w:color="auto"/>
          <w:color w:val="auto"/>
        </w:rPr>
        <w:t>Partnership Representative</w:t>
      </w:r>
      <w:r>
        <w:rPr>
          <w:rFonts w:ascii="Arial" w:cs="Arial" w:eastAsia="Arial" w:hAnsi="Arial"/>
          <w:sz w:val="15"/>
          <w:szCs w:val="15"/>
          <w:color w:val="auto"/>
        </w:rPr>
        <w:t>.</w:t>
      </w:r>
    </w:p>
    <w:p>
      <w:pPr>
        <w:spacing w:after="0" w:line="117" w:lineRule="exact"/>
        <w:rPr>
          <w:sz w:val="20"/>
          <w:szCs w:val="20"/>
          <w:color w:val="auto"/>
        </w:rPr>
      </w:pPr>
    </w:p>
    <w:p>
      <w:pPr>
        <w:ind w:firstLine="436"/>
        <w:spacing w:after="0" w:line="254" w:lineRule="auto"/>
        <w:tabs>
          <w:tab w:leader="none" w:pos="81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General Partner or its delegate shall be designated the “partnership representative” of the Partnership (the “</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 for purposes of, and in accordance with, Code Section 6223. The General Partner shall cause the preparation and timely filing of all Partnership tax returns and shall, on behalf of the Partnership, timely file all other writings required by any governmental authority having jurisdiction to require such filing, including all state and local withholding tax requirements on distributions and/or income allocations and shall cause the timely filing and reporting of such information to the governmental authorities and to Partners. At least thirty (30) days prior to the filing of any material income tax return, including any amended return, the General Partner will provide a draft thereof to each Investor Limited Partner for review, comment and consent, which consent shall not be unreasonably withheld or delayed. Any such material income tax return shall reflect any timely reasonable comments provided by an Investor Limited Partner.</w:t>
      </w:r>
    </w:p>
    <w:p>
      <w:pPr>
        <w:spacing w:after="0" w:line="191" w:lineRule="exact"/>
        <w:rPr>
          <w:rFonts w:ascii="Arial" w:cs="Arial" w:eastAsia="Arial" w:hAnsi="Arial"/>
          <w:sz w:val="18"/>
          <w:szCs w:val="18"/>
          <w:color w:val="auto"/>
        </w:rPr>
      </w:pPr>
    </w:p>
    <w:p>
      <w:pPr>
        <w:ind w:right="40" w:firstLine="436"/>
        <w:spacing w:after="0" w:line="293" w:lineRule="auto"/>
        <w:tabs>
          <w:tab w:leader="none" w:pos="827"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Partnership Representative shall (i) promptly notify each Investor Limited Partner in writing of the contents of any material communication (oral or written) from the Internal Revenue Service or any state or local taxing authority within five (5) Business Days of receiving such communication and (ii) provide the Limited Partners with written notice of any material audit, investigation, administrative or judicial proceeding, or other tax-related proceeding (collectively, a “</w:t>
      </w:r>
      <w:r>
        <w:rPr>
          <w:rFonts w:ascii="Arial" w:cs="Arial" w:eastAsia="Arial" w:hAnsi="Arial"/>
          <w:sz w:val="16"/>
          <w:szCs w:val="16"/>
          <w:u w:val="single" w:color="auto"/>
          <w:color w:val="auto"/>
        </w:rPr>
        <w:t>Tax Proceeding</w:t>
      </w:r>
      <w:r>
        <w:rPr>
          <w:rFonts w:ascii="Arial" w:cs="Arial" w:eastAsia="Arial" w:hAnsi="Arial"/>
          <w:sz w:val="16"/>
          <w:szCs w:val="16"/>
          <w:color w:val="auto"/>
        </w:rPr>
        <w:t>”) relating to the Partnership, and shall further keep the Limited Partner informed of, and give the Limited Partner the right to participate in, any Tax Proceeding. The Partnership Representative shall not take any material action in its capacity as the “partnership representative” in a manner that shall bind a Limited Partner without the consent of the Limited Partner.</w:t>
      </w:r>
    </w:p>
    <w:p>
      <w:pPr>
        <w:sectPr>
          <w:pgSz w:w="11900" w:h="16838" w:orient="portrait"/>
          <w:cols w:equalWidth="0" w:num="1">
            <w:col w:w="11000"/>
          </w:cols>
          <w:pgMar w:left="440" w:top="274" w:right="459" w:bottom="1440" w:gutter="0" w:footer="0" w:header="0"/>
        </w:sectPr>
      </w:pPr>
    </w:p>
    <w:bookmarkStart w:id="56" w:name="page57"/>
    <w:bookmarkEnd w:id="56"/>
    <w:p>
      <w:pPr>
        <w:ind w:firstLine="436"/>
        <w:spacing w:after="0" w:line="271" w:lineRule="auto"/>
        <w:tabs>
          <w:tab w:leader="none" w:pos="820" w:val="left"/>
        </w:tabs>
        <w:numPr>
          <w:ilvl w:val="0"/>
          <w:numId w:val="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Partner does hereby agree to indemnify and hold harmless the Partnership and Partnership Representative from and against any liability with respect to its share of any tax deficiency paid or payable by the Partnership that is allocable to the Partner (as reasonably determined by the Partnership Representative and the Limited Partners) with respect to an audited or reviewed taxable year for which such Partner was a Partner (for the avoidance of doubt, including any applicable interest and penalties), other than any such liability (including interest and penalties) that arises as a result of the gross negligence of the Partnership or the Partnership Representative. Further, each Partner does hereby agree to provide information reasonably required by the Partnership to enable the Partnership to reduce its liability from an audit adjustment, even if such tax is paid or audit adjustment occurs after the Partner is no longer a Partner in the Partnership. The obligations set forth in this Section 8.06 will survive such Partner’s ceasing to be a Partner of the Partnership and/or the termination, dissolution, liquidation and winding up of the Partnership.</w:t>
      </w:r>
    </w:p>
    <w:p>
      <w:pPr>
        <w:spacing w:after="0" w:line="178" w:lineRule="exact"/>
        <w:rPr>
          <w:rFonts w:ascii="Arial" w:cs="Arial" w:eastAsia="Arial" w:hAnsi="Arial"/>
          <w:sz w:val="17"/>
          <w:szCs w:val="17"/>
          <w:color w:val="auto"/>
        </w:rPr>
      </w:pPr>
    </w:p>
    <w:p>
      <w:pPr>
        <w:ind w:right="100" w:firstLine="436"/>
        <w:spacing w:after="0" w:line="290" w:lineRule="auto"/>
        <w:tabs>
          <w:tab w:leader="none" w:pos="82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General Partner (without regard to whether the General Partner is the Partnership Representative at such time) (i) shall provide the Strategic Investor with all notifications that would be required by Section 8.06(b), and shall keep the Strategic Investor informed of the progress of any Tax Proceeding, as if the General Partner were the Partnership Representative and the Strategic Investor were a Limited Partner and (ii) shall consult in good faith with the Strategic Investor about any Tax Proceeding which could reasonably be expected to have a material adverse effect on the Strategic Investor. Neither the Partnership nor any Limited Partner shall have any liability to the Strategic Investor for a failure by the General Partner to satisfy the foregoing obligations to the Strategic Investor. Absent the consent of the Strategic Investor, which consent shall not be unreasonably withheld or delayed, the Partnership Representative shall not settle or compromise any tax liability involved in a Tax Proceeding, if such settlement or compromise would have a material adverse effect on the Investor Limited Partner or the Strategic Investor.</w:t>
      </w:r>
    </w:p>
    <w:p>
      <w:pPr>
        <w:spacing w:after="0" w:line="165"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8.07. </w:t>
      </w:r>
      <w:r>
        <w:rPr>
          <w:rFonts w:ascii="Arial" w:cs="Arial" w:eastAsia="Arial" w:hAnsi="Arial"/>
          <w:sz w:val="16"/>
          <w:szCs w:val="16"/>
          <w:u w:val="single" w:color="auto"/>
          <w:color w:val="auto"/>
        </w:rPr>
        <w:t>Tax Elections</w:t>
      </w:r>
      <w:r>
        <w:rPr>
          <w:rFonts w:ascii="Arial" w:cs="Arial" w:eastAsia="Arial" w:hAnsi="Arial"/>
          <w:sz w:val="16"/>
          <w:szCs w:val="16"/>
          <w:color w:val="auto"/>
        </w:rPr>
        <w:t xml:space="preserve">. The General Partner shall have the power to make or revoke such tax elections that it determines, in its discretion, are necessary or desirable, including, without limitation, the power to make such elections under the Code and other relevant tax laws as to the treatment of items of Partnership income, gain, loss and deduction, and as to all other relevant matters, as the General Partner deems necessary or appropriate, including, without limitation, the determination of which items of cash outlay are to be capitalized or treated as current expenses, and selection of the method of accounting and bookkeeping procedures to be used by the Partnership. The General Partner’s powers shall include the power to cause the Partnership to make a timely election under Section 754 of the Code (and a corresponding election under state and local law), (i) in the event of a transfer of an Interest in the Partnership as permitted hereunder; </w:t>
      </w:r>
      <w:r>
        <w:rPr>
          <w:rFonts w:ascii="Arial" w:cs="Arial" w:eastAsia="Arial" w:hAnsi="Arial"/>
          <w:sz w:val="16"/>
          <w:szCs w:val="16"/>
          <w:i w:val="1"/>
          <w:iCs w:val="1"/>
          <w:color w:val="auto"/>
        </w:rPr>
        <w:t>provided</w:t>
      </w:r>
      <w:r>
        <w:rPr>
          <w:rFonts w:ascii="Arial" w:cs="Arial" w:eastAsia="Arial" w:hAnsi="Arial"/>
          <w:sz w:val="16"/>
          <w:szCs w:val="16"/>
          <w:color w:val="auto"/>
        </w:rPr>
        <w:t>, that, the General Partner has received a written request to do so from the transferor or transferee of such Interest in the Partnership and (ii) in the event of a distribution of property to a Partner. The General Partner and each Limited Partner shall provide the Partnership with such information which may be necessary or desirable in connection with such elections or otherwise in connection with the compliance by the Partnership or the Partners with applicable tax laws, including, without limitation, providing information to facilitate compliance with Section 743 of the Code and elections permitted thereunder.</w:t>
      </w:r>
    </w:p>
    <w:p>
      <w:pPr>
        <w:sectPr>
          <w:pgSz w:w="11900" w:h="16838" w:orient="portrait"/>
          <w:cols w:equalWidth="0" w:num="1">
            <w:col w:w="10980"/>
          </w:cols>
          <w:pgMar w:left="440" w:top="274" w:right="479" w:bottom="1440" w:gutter="0" w:footer="0" w:header="0"/>
        </w:sectPr>
      </w:pPr>
    </w:p>
    <w:bookmarkStart w:id="57" w:name="page58"/>
    <w:bookmarkEnd w:id="57"/>
    <w:p>
      <w:pPr>
        <w:ind w:left="440"/>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8.08.</w:t>
      </w:r>
      <w:r>
        <w:rPr>
          <w:sz w:val="20"/>
          <w:szCs w:val="20"/>
          <w:color w:val="auto"/>
        </w:rPr>
        <w:tab/>
      </w:r>
      <w:r>
        <w:rPr>
          <w:rFonts w:ascii="Arial" w:cs="Arial" w:eastAsia="Arial" w:hAnsi="Arial"/>
          <w:sz w:val="15"/>
          <w:szCs w:val="15"/>
          <w:color w:val="auto"/>
        </w:rPr>
        <w:t>Tax Covenants.</w:t>
      </w:r>
    </w:p>
    <w:p>
      <w:pPr>
        <w:spacing w:after="0" w:line="117" w:lineRule="exact"/>
        <w:rPr>
          <w:sz w:val="20"/>
          <w:szCs w:val="20"/>
          <w:color w:val="auto"/>
        </w:rPr>
      </w:pPr>
    </w:p>
    <w:p>
      <w:pPr>
        <w:ind w:firstLine="436"/>
        <w:spacing w:after="0" w:line="254" w:lineRule="auto"/>
        <w:tabs>
          <w:tab w:leader="none" w:pos="81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General Partner shall use commercially reasonable efforts to assist each Limited Partner and its partners in obtaining any available tax refunds, exclusions from income, exemptions from withholding, benefits under tax treaties, and other similar relief, and in otherwise making any tax related filings, applications, or elections, in connection with such Limited Partner’s investment in the Partnership and any investment by the Partnership, including without limitation by assisting such Limited Partner and its partners in obtaining information concerning the source, character and amount of the Partnership’s income required for the making of any applicable tax filings, applications or elections or the contesting of any taxes. If a Limited Partner is not eligible for a reduction, refund or exemption from such withholding taxes, the Partnership will use commercially reasonable efforts to avoid interest and penalties with respect to such taxes.</w:t>
      </w:r>
    </w:p>
    <w:p>
      <w:pPr>
        <w:spacing w:after="0" w:line="194" w:lineRule="exact"/>
        <w:rPr>
          <w:rFonts w:ascii="Arial" w:cs="Arial" w:eastAsia="Arial" w:hAnsi="Arial"/>
          <w:sz w:val="18"/>
          <w:szCs w:val="18"/>
          <w:color w:val="auto"/>
        </w:rPr>
      </w:pPr>
    </w:p>
    <w:p>
      <w:pPr>
        <w:ind w:left="820" w:hanging="384"/>
        <w:spacing w:after="0"/>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event that the General Partner determines that the Partnership has made an investment in a passive foreign investment company (a</w:t>
      </w:r>
    </w:p>
    <w:p>
      <w:pPr>
        <w:spacing w:after="0" w:line="4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PFIC</w:t>
      </w:r>
      <w:r>
        <w:rPr>
          <w:rFonts w:ascii="Arial" w:cs="Arial" w:eastAsia="Arial" w:hAnsi="Arial"/>
          <w:sz w:val="18"/>
          <w:szCs w:val="18"/>
          <w:color w:val="auto"/>
        </w:rPr>
        <w:t>”), based on the advice of the U.S. tax advisors of the Partnership or the offering materials of, or publicly available information relating to, such company, the General Partner shall use commercially reasonable efforts to cause the Partnership to make and maintain a “qualified electing fund” election within the meaning of Section 1295 of the Code with respect to such PFIC.</w:t>
      </w:r>
    </w:p>
    <w:p>
      <w:pPr>
        <w:spacing w:after="0" w:line="190" w:lineRule="exact"/>
        <w:rPr>
          <w:sz w:val="20"/>
          <w:szCs w:val="20"/>
          <w:color w:val="auto"/>
        </w:rPr>
      </w:pPr>
    </w:p>
    <w:p>
      <w:pPr>
        <w:jc w:val="both"/>
        <w:ind w:right="20" w:firstLine="436"/>
        <w:spacing w:after="0" w:line="342" w:lineRule="auto"/>
        <w:tabs>
          <w:tab w:leader="none" w:pos="817"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General Partner shall use commercially reasonable efforts to avoid making investments which may cause the Partnership to be treated as a U.S. Shareholder within the meaning of Section 951(b) of the Code of a controlled foreign corporation within the meaning of Section 957 of the Code.</w:t>
      </w:r>
    </w:p>
    <w:p>
      <w:pPr>
        <w:spacing w:after="0" w:line="123" w:lineRule="exact"/>
        <w:rPr>
          <w:rFonts w:ascii="Arial" w:cs="Arial" w:eastAsia="Arial" w:hAnsi="Arial"/>
          <w:sz w:val="16"/>
          <w:szCs w:val="16"/>
          <w:color w:val="auto"/>
        </w:rPr>
      </w:pPr>
    </w:p>
    <w:p>
      <w:pPr>
        <w:ind w:right="20" w:firstLine="436"/>
        <w:spacing w:after="0" w:line="271" w:lineRule="auto"/>
        <w:tabs>
          <w:tab w:leader="none" w:pos="827"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General Partner shall use commercially reasonable efforts to prevent the Partnership from making investments which would cause any Limited Partner (other than the Strategic Investor) to recognize income or gain effectively connected with a trade or business in the United States within the meaning of Sections 864(b), 871(b), 875, 882, and 884 of the Code (“</w:t>
      </w:r>
      <w:r>
        <w:rPr>
          <w:rFonts w:ascii="Arial" w:cs="Arial" w:eastAsia="Arial" w:hAnsi="Arial"/>
          <w:sz w:val="17"/>
          <w:szCs w:val="17"/>
          <w:u w:val="single" w:color="auto"/>
          <w:color w:val="auto"/>
        </w:rPr>
        <w:t>ECI</w:t>
      </w:r>
      <w:r>
        <w:rPr>
          <w:rFonts w:ascii="Arial" w:cs="Arial" w:eastAsia="Arial" w:hAnsi="Arial"/>
          <w:sz w:val="17"/>
          <w:szCs w:val="17"/>
          <w:color w:val="auto"/>
        </w:rPr>
        <w:t>”). For the avoidance of doubt, this provision shall be interpreted to apply to income and gain considered effectively connected with a trade or business in the United States as of a result of Section 897 of the Code. If the Partnership acquires a position equal to or greater than 2% of class of equity securities of any U.S. issuer, the General Partner shall make reasonable inquires of such issuer to determine if such issuer is a U.S. real property holding corporation as defined in the Code and the General Partner shall share any information obtained and consult with the Limited Partners (other than the Strategic Investor) prior to acquiring any additional securities of such issuer on behalf of the Partnership.</w:t>
      </w:r>
    </w:p>
    <w:p>
      <w:pPr>
        <w:spacing w:after="0" w:line="178" w:lineRule="exact"/>
        <w:rPr>
          <w:rFonts w:ascii="Arial" w:cs="Arial" w:eastAsia="Arial" w:hAnsi="Arial"/>
          <w:sz w:val="17"/>
          <w:szCs w:val="17"/>
          <w:color w:val="auto"/>
        </w:rPr>
      </w:pPr>
    </w:p>
    <w:p>
      <w:pPr>
        <w:ind w:right="80" w:firstLine="436"/>
        <w:spacing w:after="0" w:line="259" w:lineRule="auto"/>
        <w:tabs>
          <w:tab w:leader="none" w:pos="81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Partnership shall use commercially reasonable efforts to not make any Investments in companies with a domicile or principal place of business outside of the United States that would cause any Limited Partner, solely as a result of such Limited Partner being a partner or indirectly participating in the Partnership, to be required either to file income tax returns in such foreign jurisdiction or to pay tax in such foreign jurisdiction with respect to such Limited Partner’s income other than income attributable to the investment.</w:t>
      </w:r>
    </w:p>
    <w:p>
      <w:pPr>
        <w:sectPr>
          <w:pgSz w:w="11900" w:h="16838" w:orient="portrait"/>
          <w:cols w:equalWidth="0" w:num="1">
            <w:col w:w="10980"/>
          </w:cols>
          <w:pgMar w:left="440" w:top="274" w:right="479" w:bottom="1440" w:gutter="0" w:footer="0" w:header="0"/>
        </w:sectPr>
      </w:pPr>
    </w:p>
    <w:bookmarkStart w:id="58" w:name="page59"/>
    <w:bookmarkEnd w:id="58"/>
    <w:p>
      <w:pPr>
        <w:ind w:right="40" w:firstLine="436"/>
        <w:spacing w:after="0" w:line="255" w:lineRule="auto"/>
        <w:tabs>
          <w:tab w:leader="none" w:pos="797"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General Partner shall use commercially reasonable efforts to structure and manage investments in a manner which will maximize returns after the incidence of any tax, including withholding taxes, sales and use tax and value added taxes (or similar transaction taxes), and stamp or capital duties (or similar transfer taxes). The General Partner will consult with the Limited Partners (other than the Strategic Investor) as to tax structuring of investments; </w:t>
      </w:r>
      <w:r>
        <w:rPr>
          <w:rFonts w:ascii="Arial" w:cs="Arial" w:eastAsia="Arial" w:hAnsi="Arial"/>
          <w:sz w:val="18"/>
          <w:szCs w:val="18"/>
          <w:i w:val="1"/>
          <w:iCs w:val="1"/>
          <w:color w:val="auto"/>
        </w:rPr>
        <w:t>provided</w:t>
      </w:r>
      <w:r>
        <w:rPr>
          <w:rFonts w:ascii="Arial" w:cs="Arial" w:eastAsia="Arial" w:hAnsi="Arial"/>
          <w:sz w:val="18"/>
          <w:szCs w:val="18"/>
          <w:color w:val="auto"/>
        </w:rPr>
        <w:t>, however, that once the tax structuring for a certain type of investment has been determined, the General Partner need not further consult with the Limited Partners on the repeated execution of the same type of transactions unless the tax structure of such transaction will be inconsistent with prior transactions.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w:t>
      </w:r>
    </w:p>
    <w:p>
      <w:pPr>
        <w:spacing w:after="0" w:line="22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The Partnership shall be terminated and dissolved upon the occurrence of any of the following events:</w:t>
      </w:r>
    </w:p>
    <w:p>
      <w:pPr>
        <w:spacing w:after="0" w:line="225" w:lineRule="exact"/>
        <w:rPr>
          <w:sz w:val="20"/>
          <w:szCs w:val="20"/>
          <w:color w:val="auto"/>
        </w:rPr>
      </w:pPr>
    </w:p>
    <w:p>
      <w:pPr>
        <w:ind w:left="820" w:hanging="384"/>
        <w:spacing w:after="0"/>
        <w:tabs>
          <w:tab w:leader="none" w:pos="8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election by the General Partner to liquidate and dissolve the Partnership upon at least sixty (60) days’ prior written notice to the Limited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Partners;</w:t>
      </w:r>
    </w:p>
    <w:p>
      <w:pPr>
        <w:spacing w:after="0" w:line="210" w:lineRule="exact"/>
        <w:rPr>
          <w:rFonts w:ascii="Arial" w:cs="Arial" w:eastAsia="Arial" w:hAnsi="Arial"/>
          <w:sz w:val="16"/>
          <w:szCs w:val="16"/>
          <w:color w:val="auto"/>
        </w:rPr>
      </w:pPr>
    </w:p>
    <w:p>
      <w:pPr>
        <w:ind w:left="820" w:hanging="384"/>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continued conduct of the Partnership business becoming unlawful;</w:t>
      </w:r>
    </w:p>
    <w:p>
      <w:pPr>
        <w:spacing w:after="0" w:line="225" w:lineRule="exact"/>
        <w:rPr>
          <w:rFonts w:ascii="Arial" w:cs="Arial" w:eastAsia="Arial" w:hAnsi="Arial"/>
          <w:sz w:val="18"/>
          <w:szCs w:val="18"/>
          <w:color w:val="auto"/>
        </w:rPr>
      </w:pPr>
    </w:p>
    <w:p>
      <w:pPr>
        <w:ind w:firstLine="436"/>
        <w:spacing w:after="0" w:line="277"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upon an order of dissolution by a court of competent jurisdiction or upon any recognized process of dissolution as provided for by the laws of the State of Delaware.; or</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upon the complete withdrawal of the Capital Account of the Investor Limited Partner.</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Promptly following the occurrence of any of the foregoing, the General Partner shall furnish to each Limited Partner (other than the Strategic Investor) a copy of all relevant documentation in the General Partner’s possession concerning rights, privileges and obligations relating to any open positions held by the Partnership at the time of such notice of termination.</w:t>
      </w:r>
    </w:p>
    <w:p>
      <w:pPr>
        <w:spacing w:after="0" w:line="184"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 xml:space="preserve">9.02. </w:t>
      </w:r>
      <w:r>
        <w:rPr>
          <w:rFonts w:ascii="Arial" w:cs="Arial" w:eastAsia="Arial" w:hAnsi="Arial"/>
          <w:sz w:val="16"/>
          <w:szCs w:val="16"/>
          <w:u w:val="single" w:color="auto"/>
          <w:color w:val="auto"/>
        </w:rPr>
        <w:t>Removal of the General Partner.</w:t>
      </w:r>
      <w:r>
        <w:rPr>
          <w:rFonts w:ascii="Arial" w:cs="Arial" w:eastAsia="Arial" w:hAnsi="Arial"/>
          <w:sz w:val="16"/>
          <w:szCs w:val="16"/>
          <w:color w:val="auto"/>
        </w:rPr>
        <w:t xml:space="preserve"> The Investor Limited Partner may remove the General Partner (a “</w:t>
      </w:r>
      <w:r>
        <w:rPr>
          <w:rFonts w:ascii="Arial" w:cs="Arial" w:eastAsia="Arial" w:hAnsi="Arial"/>
          <w:sz w:val="16"/>
          <w:szCs w:val="16"/>
          <w:u w:val="single" w:color="auto"/>
          <w:color w:val="auto"/>
        </w:rPr>
        <w:t>Removal</w:t>
      </w:r>
      <w:r>
        <w:rPr>
          <w:rFonts w:ascii="Arial" w:cs="Arial" w:eastAsia="Arial" w:hAnsi="Arial"/>
          <w:sz w:val="16"/>
          <w:szCs w:val="16"/>
          <w:color w:val="auto"/>
        </w:rPr>
        <w:t>”) and appoint a new General Partner at any time following an occurrence of Cause. Upon the request of the Investor Limited Partner, the General Partner shall identify any agreements between the Partnership and any service provider to the Partnership, including any Affiliate of the General Partner that may serve as an investment adviser to the Partnership, and upon the request of the Investor Limited Partner, the General Partner shall cause any such agreements to be terminated as of the effectiveness of the Removal. The General Partner shall do and perform, or cause to be done and performed, all such further acts and things, and shall execute and deliver all such other agreements, certificates, instruments and documents, as the Investor Limited Partner may reasonably request in order to carry out the intent and accomplish the purposes of the Removal and the appointment of a new “general partner” of the Partnership pursuant to this paragraph, including such actions as are necessary to ensure that any brokers and other service providers of the Partnership shall take direction from the newly appointed “general partner” of the Partnership with respect to the Partnership, and shall be entitled to appropriate</w:t>
      </w:r>
    </w:p>
    <w:p>
      <w:pPr>
        <w:sectPr>
          <w:pgSz w:w="11900" w:h="16838" w:orient="portrait"/>
          <w:cols w:equalWidth="0" w:num="1">
            <w:col w:w="11000"/>
          </w:cols>
          <w:pgMar w:left="440" w:top="274" w:right="459" w:bottom="1440" w:gutter="0" w:footer="0" w:header="0"/>
        </w:sectPr>
      </w:pPr>
    </w:p>
    <w:bookmarkStart w:id="59" w:name="page60"/>
    <w:bookmarkEnd w:id="59"/>
    <w:p>
      <w:pPr>
        <w:jc w:val="both"/>
        <w:ind w:right="2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 for its time and efforts in connection with the same. The General Partner may withdraw all of its Capital Account balance as of the last Business Day of the first full calendar quarter following a Removal upon ten (10) Business Days’ prior written notice to the Investor Limited Partner.</w:t>
      </w:r>
    </w:p>
    <w:p>
      <w:pPr>
        <w:spacing w:after="0" w:line="12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Liability of a Former General Partner</w:t>
      </w:r>
      <w:r>
        <w:rPr>
          <w:rFonts w:ascii="Arial" w:cs="Arial" w:eastAsia="Arial" w:hAnsi="Arial"/>
          <w:sz w:val="18"/>
          <w:szCs w:val="18"/>
          <w:color w:val="auto"/>
        </w:rPr>
        <w:t>. The General Partner shall face no additional liability as the General Partner after cessation of its status as General Partner and the Partnership shall promptly take all steps reasonably necessary under the Delaware Act to cause the cessation of any additional liability and to discharge all of such former General Partner’s liabilities as the General Partner to the extent that the assets of the Partnership allow it.</w:t>
      </w:r>
    </w:p>
    <w:p>
      <w:pPr>
        <w:spacing w:after="0" w:line="18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Procedure</w:t>
      </w:r>
      <w:r>
        <w:rPr>
          <w:rFonts w:ascii="Arial" w:cs="Arial" w:eastAsia="Arial" w:hAnsi="Arial"/>
          <w:sz w:val="17"/>
          <w:szCs w:val="17"/>
          <w:color w:val="auto"/>
        </w:rPr>
        <w:t>. Upon the termination or dissolution of the Partnership, an accounting shall be made of the operations from the date of the last previous accounting to the date of such termination and, thereupon, the General Partner (or in the event that the dissolution is caused by the bankruptcy, dissolution, resignation or withdrawal of the then last remaining General Partner, such Person as may be designated by the Investor Limited Partner) shall act as liquidating trustee and immediately proceed to wind up and terminate the business and affairs of the Partnership. Upon the termination or dissolution of the Partnership, the General Partner or such other liquidating trustee, as the case may be, shall, after promptly paying all liabilities, including providing for the cost of dissolution and reserves for unliquidated liabilities, promptly distribute the remainder either in cash or in Securities to the then Partners (or their Representatives) as nearly as may be practicable in proportion to their then respective Capital Accounts after taking into account transactions related to the liquidation of the Partnership.</w:t>
      </w:r>
    </w:p>
    <w:p>
      <w:pPr>
        <w:spacing w:after="0" w:line="178"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 xml:space="preserve">9.05. </w:t>
      </w:r>
      <w:r>
        <w:rPr>
          <w:rFonts w:ascii="Arial" w:cs="Arial" w:eastAsia="Arial" w:hAnsi="Arial"/>
          <w:sz w:val="16"/>
          <w:szCs w:val="16"/>
          <w:u w:val="single" w:color="auto"/>
          <w:color w:val="auto"/>
        </w:rPr>
        <w:t>Return of Contribution Solely Out of Partnership Assets</w:t>
      </w:r>
      <w:r>
        <w:rPr>
          <w:rFonts w:ascii="Arial" w:cs="Arial" w:eastAsia="Arial" w:hAnsi="Arial"/>
          <w:sz w:val="16"/>
          <w:szCs w:val="16"/>
          <w:color w:val="auto"/>
        </w:rPr>
        <w:t>. Each Partner shall look solely to the properties and assets of the Partnership for return of its contribution, and if the properties and assets of the Partnership remaining after the payment or discharge of the liabilities of the Partnership are insufficient to return its contribution, such Partner shall have no recourse against the General Partner or any other Partner for that purpose.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120" w:firstLine="440"/>
        <w:spacing w:after="0" w:line="270"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Most Favored Nation</w:t>
      </w:r>
      <w:r>
        <w:rPr>
          <w:rFonts w:ascii="Arial" w:cs="Arial" w:eastAsia="Arial" w:hAnsi="Arial"/>
          <w:sz w:val="17"/>
          <w:szCs w:val="17"/>
          <w:color w:val="auto"/>
        </w:rPr>
        <w:t>. (a) The General Partner represents and warrants that as of the date of this Agreement, no other investor (each an “</w:t>
      </w:r>
      <w:r>
        <w:rPr>
          <w:rFonts w:ascii="Arial" w:cs="Arial" w:eastAsia="Arial" w:hAnsi="Arial"/>
          <w:sz w:val="17"/>
          <w:szCs w:val="17"/>
          <w:u w:val="single" w:color="auto"/>
          <w:color w:val="auto"/>
        </w:rPr>
        <w:t>Other Investor</w:t>
      </w:r>
      <w:r>
        <w:rPr>
          <w:rFonts w:ascii="Arial" w:cs="Arial" w:eastAsia="Arial" w:hAnsi="Arial"/>
          <w:sz w:val="17"/>
          <w:szCs w:val="17"/>
          <w:color w:val="auto"/>
        </w:rPr>
        <w:t>”), other than the Strategic Investor, that has invested directly or indirectly, amounts less than or equal to the Investor Limited Partner’s Invested Capital as of any given date, in any other account advised or sub-advised by the Investment Manager or any of its Affiliates with substantially the same investment strategy as that employed by the Partnership, including for the avoidance of doubt the Sarissa Funds (each, an “</w:t>
      </w:r>
      <w:r>
        <w:rPr>
          <w:rFonts w:ascii="Arial" w:cs="Arial" w:eastAsia="Arial" w:hAnsi="Arial"/>
          <w:sz w:val="17"/>
          <w:szCs w:val="17"/>
          <w:u w:val="single" w:color="auto"/>
          <w:color w:val="auto"/>
        </w:rPr>
        <w:t>Other Account</w:t>
      </w:r>
      <w:r>
        <w:rPr>
          <w:rFonts w:ascii="Arial" w:cs="Arial" w:eastAsia="Arial" w:hAnsi="Arial"/>
          <w:sz w:val="17"/>
          <w:szCs w:val="17"/>
          <w:color w:val="auto"/>
        </w:rPr>
        <w:t>”) has received any more favorable terms than those applicable to the Limited Partners hereunder. The Investment Manager shall promptly provide the Investor Limited Partner with true, complete and correct copies (without disclosing the identity of the Other Investor) of the form of all letters, agreements, undertakings and other documents entered into hereafter relating to the more favorable terms or a reasonably detailed description of such more favorable terms (“</w:t>
      </w:r>
      <w:r>
        <w:rPr>
          <w:rFonts w:ascii="Arial" w:cs="Arial" w:eastAsia="Arial" w:hAnsi="Arial"/>
          <w:sz w:val="17"/>
          <w:szCs w:val="17"/>
          <w:u w:val="single" w:color="auto"/>
          <w:color w:val="auto"/>
        </w:rPr>
        <w:t>Other Agreement</w:t>
      </w:r>
      <w:r>
        <w:rPr>
          <w:rFonts w:ascii="Arial" w:cs="Arial" w:eastAsia="Arial" w:hAnsi="Arial"/>
          <w:sz w:val="17"/>
          <w:szCs w:val="17"/>
          <w:color w:val="auto"/>
        </w:rPr>
        <w:t>”) by and among the Investment Manager, any of its affiliates or an Other Account and any Other Investor regarding such Other Investor’s investment in an Other Account</w:t>
      </w:r>
    </w:p>
    <w:p>
      <w:pPr>
        <w:sectPr>
          <w:pgSz w:w="11900" w:h="16838" w:orient="portrait"/>
          <w:cols w:equalWidth="0" w:num="1">
            <w:col w:w="11000"/>
          </w:cols>
          <w:pgMar w:left="440" w:top="274" w:right="459" w:bottom="1440" w:gutter="0" w:footer="0" w:header="0"/>
        </w:sectPr>
      </w:pPr>
    </w:p>
    <w:bookmarkStart w:id="60" w:name="page61"/>
    <w:bookmarkEnd w:id="60"/>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(including any direct or indirect fee rebate or any placement or other fee payable to an investor or its affiliate). Each Limited Partner may elect to cause any more favorable provision of any such Other Agreement to become applicable to the Limited Partner’s investment in the Partnership; </w:t>
      </w:r>
      <w:r>
        <w:rPr>
          <w:rFonts w:ascii="Arial" w:cs="Arial" w:eastAsia="Arial" w:hAnsi="Arial"/>
          <w:sz w:val="17"/>
          <w:szCs w:val="17"/>
          <w:i w:val="1"/>
          <w:iCs w:val="1"/>
          <w:color w:val="auto"/>
        </w:rPr>
        <w:t>provided</w:t>
      </w:r>
      <w:r>
        <w:rPr>
          <w:rFonts w:ascii="Arial" w:cs="Arial" w:eastAsia="Arial" w:hAnsi="Arial"/>
          <w:sz w:val="17"/>
          <w:szCs w:val="17"/>
          <w:color w:val="auto"/>
        </w:rPr>
        <w:t>, that in the event that an Other Agreement containing more favorable terms subject the relevant Other Investor to any obligation(s) or less favorable terms, then the grant of such more favorable terms to the Limited Partner will be contingent upon the Investor Limited Partner agreeing to be bound by any such obligation(s) and less favorable terms. Notwithstanding the foregoing, the Investor Limited Partner shall not be entitled to receive, any rights or benefits (i) established in favor of an Other Investor solely by reason of the fact that such Other Investor is subject to any laws, rules or regulations to which the Investor Limited Partner is not also subject (provided, that all such rights will be presented to the Investor Limited Partner for review and determination, in its reasonable determination, as to whether such laws, rules or regulations are applicable), (ii) granted with respect to investments by the General Partner or any of its Affiliates or any of their respective principals or full-time employees, family members of such persons or trusts formed and operated solely for the benefit of such persons, or (iii) granted to the Strategic Investor pursuant to the Strategic Investor Agreement (together with the Persons listed in (ii), “</w:t>
      </w:r>
      <w:r>
        <w:rPr>
          <w:rFonts w:ascii="Arial" w:cs="Arial" w:eastAsia="Arial" w:hAnsi="Arial"/>
          <w:sz w:val="17"/>
          <w:szCs w:val="17"/>
          <w:u w:val="single" w:color="auto"/>
          <w:color w:val="auto"/>
        </w:rPr>
        <w:t>Excluded Investors</w:t>
      </w:r>
      <w:r>
        <w:rPr>
          <w:rFonts w:ascii="Arial" w:cs="Arial" w:eastAsia="Arial" w:hAnsi="Arial"/>
          <w:sz w:val="17"/>
          <w:szCs w:val="17"/>
          <w:color w:val="auto"/>
        </w:rPr>
        <w:t>”).</w:t>
      </w:r>
    </w:p>
    <w:p>
      <w:pPr>
        <w:spacing w:after="0" w:line="182" w:lineRule="exact"/>
        <w:rPr>
          <w:sz w:val="20"/>
          <w:szCs w:val="20"/>
          <w:color w:val="auto"/>
        </w:rPr>
      </w:pPr>
    </w:p>
    <w:p>
      <w:pPr>
        <w:ind w:right="200" w:firstLine="436"/>
        <w:spacing w:after="0" w:line="257" w:lineRule="auto"/>
        <w:tabs>
          <w:tab w:leader="none" w:pos="8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event that an investor in a Sarissa Fund or any Parallel Account exercises Special Withdrawal Rights in connection with a “cause event” or a “key man event” (which for the avoidance of doubt shall not include the ordinary withdrawal terms of any class of interests in the Sarissa Funds), the Investor Limited Partner shall be granted and permitted to exercise the same Special Withdrawal Rights in connection with such event, including a Withdrawal Date regardless of whether the Lock-Up Period has expired or whether such Withdrawal Date is not the annual anniversary of such expiration.</w:t>
      </w:r>
    </w:p>
    <w:p>
      <w:pPr>
        <w:spacing w:after="0" w:line="187" w:lineRule="exact"/>
        <w:rPr>
          <w:rFonts w:ascii="Arial" w:cs="Arial" w:eastAsia="Arial" w:hAnsi="Arial"/>
          <w:sz w:val="18"/>
          <w:szCs w:val="18"/>
          <w:color w:val="auto"/>
        </w:rPr>
      </w:pPr>
    </w:p>
    <w:p>
      <w:pPr>
        <w:jc w:val="both"/>
        <w:ind w:right="120" w:firstLine="436"/>
        <w:spacing w:after="0" w:line="263" w:lineRule="auto"/>
        <w:tabs>
          <w:tab w:leader="none" w:pos="8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Investor Limited Partner shall be granted any information rights that are granted to any other investor in the Sarissa Funds or any other advisory client of the Investment Manager or its Affiliates that entitles such other investor to be notified of the level of withdrawal requests received or the amount of withdrawals pending for a given date.</w:t>
      </w:r>
    </w:p>
    <w:p>
      <w:pPr>
        <w:spacing w:after="0" w:line="292"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u w:val="single" w:color="auto"/>
          <w:color w:val="auto"/>
        </w:rPr>
        <w:t>Co-Investment Rights</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72" w:lineRule="auto"/>
        <w:tabs>
          <w:tab w:leader="none" w:pos="817"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Investor Limited Partner (or any of its Affiliates) shall have a right of first refusal to participate up to its pro-rata share, as determined in good faith by the General Partner based on criteria it determines to be fair and equitable, in any co-investment opportunity made available to the Partnership, the Sarissa Funds, any Other Account or any other advisory client of the Investment Manager (a “</w:t>
      </w:r>
      <w:r>
        <w:rPr>
          <w:rFonts w:ascii="Arial" w:cs="Arial" w:eastAsia="Arial" w:hAnsi="Arial"/>
          <w:sz w:val="17"/>
          <w:szCs w:val="17"/>
          <w:u w:val="single" w:color="auto"/>
          <w:color w:val="auto"/>
        </w:rPr>
        <w:t>Co-Invest</w:t>
      </w:r>
      <w:r>
        <w:rPr>
          <w:rFonts w:ascii="Arial" w:cs="Arial" w:eastAsia="Arial" w:hAnsi="Arial"/>
          <w:sz w:val="17"/>
          <w:szCs w:val="17"/>
          <w:color w:val="auto"/>
        </w:rPr>
        <w:t>”). The Investor Limited Partner (or any of its Affiliates) shall also have a right of first refusal to participate in its pro-rata share, as determined in good faith by the General Partner based on criteria it determines to be fair and equitable, of any other investor’s pro-rata share of any Co-Invest to the extent that such investor declines to participate in the Co-Invest. The Investor Limited Partner shall not, in connection with any Co-Invest, be subject to (1) any performance compensation or performance allocation at a rate in excess of 10% of profits or (2) any management fees.</w:t>
      </w:r>
    </w:p>
    <w:p>
      <w:pPr>
        <w:sectPr>
          <w:pgSz w:w="11900" w:h="16838" w:orient="portrait"/>
          <w:cols w:equalWidth="0" w:num="1">
            <w:col w:w="10980"/>
          </w:cols>
          <w:pgMar w:left="440" w:top="274" w:right="479" w:bottom="1440" w:gutter="0" w:footer="0" w:header="0"/>
        </w:sectPr>
      </w:pPr>
    </w:p>
    <w:bookmarkStart w:id="61" w:name="page62"/>
    <w:bookmarkEnd w:id="61"/>
    <w:p>
      <w:pPr>
        <w:ind w:left="4" w:right="40" w:firstLine="436"/>
        <w:spacing w:after="0" w:line="284" w:lineRule="auto"/>
        <w:tabs>
          <w:tab w:leader="none" w:pos="834" w:val="left"/>
        </w:tabs>
        <w:numPr>
          <w:ilvl w:val="1"/>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relation to a Co-Invest in which the Investor Limited Partner or one of its Affiliates participates, the General Partner agrees that it will not grant any rights or benefits, including, but not limited to, capacity, fees, liquidity and information rights, to any External Investor (as defined below) in such Co-Invest that are more favorable than those granted to Investor Limited Partner and its Affiliates unless the General Partner provides written notice to Investor Limited Partner or its applicable Affiliate, as soon as reasonably practicable, of such more favorable rights or benefits and the Investor Limited Partner or its applicable Affiliate is afforded the right, upon request made within fifteen (15) Business Days of receipt of such notice, to receive such rights or benefits. For the avoidance of doubt, where a term is granted to another investor that is directly related to other terms also being accepted by such investor (such interdependent terms, collectively, a “</w:t>
      </w:r>
      <w:r>
        <w:rPr>
          <w:rFonts w:ascii="Arial" w:cs="Arial" w:eastAsia="Arial" w:hAnsi="Arial"/>
          <w:sz w:val="16"/>
          <w:szCs w:val="16"/>
          <w:u w:val="single" w:color="auto"/>
          <w:color w:val="auto"/>
        </w:rPr>
        <w:t>Co-Invest Rights Package</w:t>
      </w:r>
      <w:r>
        <w:rPr>
          <w:rFonts w:ascii="Arial" w:cs="Arial" w:eastAsia="Arial" w:hAnsi="Arial"/>
          <w:sz w:val="16"/>
          <w:szCs w:val="16"/>
          <w:color w:val="auto"/>
        </w:rPr>
        <w:t>”), the Investor Limited Partner or its applicable Affiliate may only elect to receive the full Co-Invest Rights Package and not exclusively the more favorable term. An “</w:t>
      </w:r>
      <w:r>
        <w:rPr>
          <w:rFonts w:ascii="Arial" w:cs="Arial" w:eastAsia="Arial" w:hAnsi="Arial"/>
          <w:sz w:val="16"/>
          <w:szCs w:val="16"/>
          <w:u w:val="single" w:color="auto"/>
          <w:color w:val="auto"/>
        </w:rPr>
        <w:t>External Investor</w:t>
      </w:r>
      <w:r>
        <w:rPr>
          <w:rFonts w:ascii="Arial" w:cs="Arial" w:eastAsia="Arial" w:hAnsi="Arial"/>
          <w:sz w:val="16"/>
          <w:szCs w:val="16"/>
          <w:color w:val="auto"/>
        </w:rPr>
        <w:t>” is an investor who is not</w:t>
      </w:r>
    </w:p>
    <w:p>
      <w:pPr>
        <w:ind w:left="4" w:hanging="4"/>
        <w:spacing w:after="0" w:line="281" w:lineRule="auto"/>
        <w:tabs>
          <w:tab w:leader="none" w:pos="249"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 Investor Limited Partner or one of its Affiliates or (b) an Excluded Investor or (c) an Other Investor in any other advisory clients of the Investment Manager whose aggregate Invested Capital as of any given date is larger than that of the Investor Limited Partner. The Investor Limited Partner shall be provided with the same information as provided to other third party participants in such Co-Invest as well as any additional information as may be reasonably requested by the Investor Limited Partner in order to make an informed decision with respect to such Co-Invest, provided that such information is available to the General Partner or can be developed by the General Partner without undue effort or expense and the General Partner is permitted to disclose such information. The Investor Limited Partner acknowledges and agrees that any information provided pursuant to this</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10.02 shall be subject to the confidentiality obligations set forth in Section 10.12 of the Agreement.</w:t>
      </w:r>
    </w:p>
    <w:p>
      <w:pPr>
        <w:spacing w:after="0" w:line="211"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Amendments to Agreement</w:t>
      </w:r>
      <w:r>
        <w:rPr>
          <w:rFonts w:ascii="Arial" w:cs="Arial" w:eastAsia="Arial" w:hAnsi="Arial"/>
          <w:sz w:val="18"/>
          <w:szCs w:val="18"/>
          <w:color w:val="auto"/>
        </w:rPr>
        <w:t xml:space="preserve">. This Agreement may not be amended, altered or modified except with the prior written consent of the Investor Limited Partner and the General Partner;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amendment, alteration, modification or waiver that affects the rights or obligations of the Strategic Investor shall require the consent of the Strategic Investor.</w:t>
      </w:r>
    </w:p>
    <w:p>
      <w:pPr>
        <w:spacing w:after="0" w:line="184"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 xml:space="preserve">10.04.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or demand required or permitted under this Agreement shall be in writing and shall be deemed to have been duly given or made if delivered personally, sent postage prepaid by registered or certified mail or e-mail, or sent by nationally recognized overnight courier service, (i) in the case of the Partnership or the General Partner, to such person, 660 Steamboat Road, 3rd Floor, Greenwich, Connecticut 06830, operations@sarissacap.com with a copy to mdipaolo@sarissacap.com and (ii) in the case of a Limited Partner, to such person at the address or the e-mail address provided to the Partnership by such Limited Partner. A Limited Partner may change its address for notices by giving notice as provided herein, stating its new address, to the General Partner, and the General Partner may change its address by giving such notice to the Limited Partners. The Partnership may, in its sole discretion, provide to any Limited Partner (or the Limited Partner’s designated agents) statements, reports, financial statements, notices and other communications relating to the Partnership and/or the Limited Partner’s investment in the Partnership in electronic form, such as e-mail or via access to a website. Unless otherwise specifically provided in this Agreement, a notice shall be deemed to have been effectively given when delivered personally, if delivered on a Business Day, or on the next Business Day after personal delivery if delivered personally on a day that is not a Business Day; four Business Days after being deposited in the United States mail, postage prepaid, return receipt requested, if mailed; on the next Business Day after being deposited for next day delivery with a reputable overnight courier.</w:t>
      </w:r>
    </w:p>
    <w:p>
      <w:pPr>
        <w:sectPr>
          <w:pgSz w:w="11900" w:h="16838" w:orient="portrait"/>
          <w:cols w:equalWidth="0" w:num="1">
            <w:col w:w="11024"/>
          </w:cols>
          <w:pgMar w:left="436" w:top="274" w:right="439" w:bottom="1440" w:gutter="0" w:footer="0" w:header="0"/>
        </w:sectPr>
      </w:pPr>
    </w:p>
    <w:bookmarkStart w:id="62" w:name="page63"/>
    <w:bookmarkEnd w:id="62"/>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10.05.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of each of the Partners with respect to the subject matter hereof. Except as set forth in Section 10.05, no modification or waiver of this Agreement or any part hereof shall be valid or effective unless in writing and signed by the party sought to be charged therewith; and no waiver of any breach or condition of this Agreement shall be deemed a waiver of any other or subsequent breach or condition, whether of like or different nature.</w:t>
      </w:r>
    </w:p>
    <w:p>
      <w:pPr>
        <w:spacing w:after="0" w:line="18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10.06.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particular provision of this Agreement shall not affect the other provisions hereof, and this Agreement shall be construed as if such invalid or unenforceable provision were omitted.</w:t>
      </w:r>
    </w:p>
    <w:p>
      <w:pPr>
        <w:spacing w:after="0" w:line="170"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Captions and Gender</w:t>
      </w:r>
      <w:r>
        <w:rPr>
          <w:rFonts w:ascii="Arial" w:cs="Arial" w:eastAsia="Arial" w:hAnsi="Arial"/>
          <w:sz w:val="18"/>
          <w:szCs w:val="18"/>
          <w:color w:val="auto"/>
        </w:rPr>
        <w:t>. The captions of the Articles and Sections are for convenience and reference only, and are not to be considered in construing this Agreement. Whenever used herein, the singular number includes the plural, the plural includes the singular and the use of any gender shall include all genders.</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Law Governing</w:t>
      </w:r>
      <w:r>
        <w:rPr>
          <w:rFonts w:ascii="Arial" w:cs="Arial" w:eastAsia="Arial" w:hAnsi="Arial"/>
          <w:sz w:val="18"/>
          <w:szCs w:val="18"/>
          <w:color w:val="auto"/>
        </w:rPr>
        <w:t>. This Agreement and all rights and liabilities of the parties hereto shall be governed by and construed in accordance with the laws of the State of Delaware.</w:t>
      </w:r>
    </w:p>
    <w:p>
      <w:pPr>
        <w:spacing w:after="0" w:line="170"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 xml:space="preserve">10.09.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Subject to the restrictions on transferability contained herein, this Agreement and all the terms and provisions hereof shall be binding upon and shall inure to the benefits of the Partners and their respective legal representatives, heirs, successors and assigns.</w:t>
      </w:r>
    </w:p>
    <w:p>
      <w:pPr>
        <w:spacing w:after="0" w:line="12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Waiver of Right to Partition</w:t>
      </w:r>
      <w:r>
        <w:rPr>
          <w:rFonts w:ascii="Arial" w:cs="Arial" w:eastAsia="Arial" w:hAnsi="Arial"/>
          <w:sz w:val="18"/>
          <w:szCs w:val="18"/>
          <w:color w:val="auto"/>
        </w:rPr>
        <w:t>. Each of the Partners irrevocably waives during the term of the Partnership any right that it may have to maintain any action for partition with respect to the property and assets of the Partnership.</w:t>
      </w:r>
    </w:p>
    <w:p>
      <w:pPr>
        <w:spacing w:after="0" w:line="170"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No Third-Party Rights</w:t>
      </w:r>
      <w:r>
        <w:rPr>
          <w:rFonts w:ascii="Arial" w:cs="Arial" w:eastAsia="Arial" w:hAnsi="Arial"/>
          <w:sz w:val="18"/>
          <w:szCs w:val="18"/>
          <w:color w:val="auto"/>
        </w:rPr>
        <w:t>. The provisions of this Agreement are not intended to be for the benefit of any creditor or other Person (other than the Partners in their capacities as such and limited as provided herein) to whom any debts, liabilities or obligations are owed by (or who otherwise have a claim against or dealings with) the Partnership or any Partner, and no such creditor or other Person shall obtain any rights under any of such provisions (whether as a third party beneficiary or otherwise) or shall by reason of any such provisions make any claim in respect to any debt, liability or obligation (or otherwise) against the Partnership or any Partner.</w:t>
      </w:r>
    </w:p>
    <w:p>
      <w:pPr>
        <w:spacing w:after="0" w:line="296"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117" w:lineRule="exact"/>
        <w:rPr>
          <w:sz w:val="20"/>
          <w:szCs w:val="20"/>
          <w:color w:val="auto"/>
        </w:rPr>
      </w:pPr>
    </w:p>
    <w:p>
      <w:pPr>
        <w:ind w:right="80" w:firstLine="436"/>
        <w:spacing w:after="0" w:line="272" w:lineRule="auto"/>
        <w:tabs>
          <w:tab w:leader="none" w:pos="8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connection with the organization of the Partnership and its ongoing business, the Limited Partners shall receive or have access to Confidential Information. Each Limited Partner agrees to keep confidential, and not to make any use of (other than for purposes of filing the Limited Partner’s tax returns) or disclose to any Person, any Confidential Information except to its Authorized Representatives that need to know such Confidential Information and that shall agree to maintain the confidentiality of the Confidential Information in accordance with the terms of this Section 10.12 (for the avoidance of doubt, the applicable Limited Partner shall be responsible for any disclosure of Confidential Information by such Limited Partner’s Authorized Representative in violation of the terms of this Section 10.12) or as otherwise required by any regulatory authority, law or regulation, or by legal process. Prior to making any disclosure required by any regulatory</w:t>
      </w:r>
    </w:p>
    <w:p>
      <w:pPr>
        <w:sectPr>
          <w:pgSz w:w="11900" w:h="16838" w:orient="portrait"/>
          <w:cols w:equalWidth="0" w:num="1">
            <w:col w:w="11000"/>
          </w:cols>
          <w:pgMar w:left="440" w:top="274" w:right="459" w:bottom="1440" w:gutter="0" w:footer="0" w:header="0"/>
        </w:sectPr>
      </w:pPr>
    </w:p>
    <w:bookmarkStart w:id="63" w:name="page64"/>
    <w:bookmarkEnd w:id="63"/>
    <w:p>
      <w:pPr>
        <w:ind w:left="4" w:right="5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authority, law or regulation, or by legal process, each Limited Partner shall use its reasonable best efforts to notify the General Partner of such disclosure. Prior to any disclosure to any Authorized Representative of a Limited Partner, such Limited Partner must advise such Authorized Representative of the obligations set forth in this Section 10.12. For the avoidance of doubt, this Agreement, any Subscription Agreement and the Memorandum, as the same may be updated or modified from time to time, constitute Confidential Information. Nothing herein shall however be construed to impose any fiduciary or similar obligations on a Limited Partner.</w:t>
      </w:r>
    </w:p>
    <w:p>
      <w:pPr>
        <w:spacing w:after="0" w:line="176" w:lineRule="exact"/>
        <w:rPr>
          <w:sz w:val="20"/>
          <w:szCs w:val="20"/>
          <w:color w:val="auto"/>
        </w:rPr>
      </w:pPr>
    </w:p>
    <w:p>
      <w:pPr>
        <w:ind w:left="4" w:right="120" w:firstLine="436"/>
        <w:spacing w:after="0" w:line="277" w:lineRule="auto"/>
        <w:tabs>
          <w:tab w:leader="none" w:pos="834" w:val="left"/>
        </w:tabs>
        <w:numPr>
          <w:ilvl w:val="1"/>
          <w:numId w:val="84"/>
        </w:numPr>
        <w:rPr>
          <w:rFonts w:ascii="Arial" w:cs="Arial" w:eastAsia="Arial" w:hAnsi="Arial"/>
          <w:sz w:val="18"/>
          <w:szCs w:val="18"/>
          <w:color w:val="auto"/>
        </w:rPr>
      </w:pPr>
      <w:r>
        <w:rPr>
          <w:rFonts w:ascii="Arial" w:cs="Arial" w:eastAsia="Arial" w:hAnsi="Arial"/>
          <w:sz w:val="18"/>
          <w:szCs w:val="18"/>
          <w:color w:val="auto"/>
        </w:rPr>
        <w:t>Each Limited Partner agrees that the General Partner has the right to keep confidential from the Limited Partners, for such period of time as the General Partner in its sole discretion deems reasonable, any Confidential Information.</w:t>
      </w:r>
    </w:p>
    <w:p>
      <w:pPr>
        <w:spacing w:after="0" w:line="170" w:lineRule="exact"/>
        <w:rPr>
          <w:rFonts w:ascii="Arial" w:cs="Arial" w:eastAsia="Arial" w:hAnsi="Arial"/>
          <w:sz w:val="18"/>
          <w:szCs w:val="18"/>
          <w:color w:val="auto"/>
        </w:rPr>
      </w:pPr>
    </w:p>
    <w:p>
      <w:pPr>
        <w:ind w:left="824" w:hanging="384"/>
        <w:spacing w:after="0"/>
        <w:tabs>
          <w:tab w:leader="none" w:pos="824"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Partners acknowledge that (a) the provisions of Section 10.12 are intended to preserve the unique relationship between the Partners;</w:t>
      </w:r>
    </w:p>
    <w:p>
      <w:pPr>
        <w:spacing w:after="0" w:line="46" w:lineRule="exact"/>
        <w:rPr>
          <w:rFonts w:ascii="Arial" w:cs="Arial" w:eastAsia="Arial" w:hAnsi="Arial"/>
          <w:sz w:val="16"/>
          <w:szCs w:val="16"/>
          <w:color w:val="auto"/>
        </w:rPr>
      </w:pPr>
    </w:p>
    <w:p>
      <w:pPr>
        <w:ind w:left="4" w:hanging="4"/>
        <w:spacing w:after="0" w:line="290" w:lineRule="auto"/>
        <w:tabs>
          <w:tab w:leader="none" w:pos="259"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provisions of Section 10.12 are intended to preserve the value and goodwill of the Partnership’s business; and (c) in the event of a breach or a threatened breach by any Partner of its obligations under Section 10.12, the others shall not have an adequate remedy at law. Accordingly, in the event of any such breach or threatened breach by a Partner, any of the other Partners shall be entitled to such equitable and injunctive relief as may be available to restrain such Partner and any Person participating in such breach or threatened breach from the violation of the provisions thereof. Nothing in this Agreement shall be construed as prohibiting a Partner from pursuing any other remedies available at law or in equity for such breach or threatened breach, including the recovery of damages. The provisions of this Section 10.12 shall survive any termination of this Agreement.</w:t>
      </w:r>
    </w:p>
    <w:p>
      <w:pPr>
        <w:spacing w:after="0" w:line="164"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No Placement Agent</w:t>
      </w:r>
      <w:r>
        <w:rPr>
          <w:rFonts w:ascii="Arial" w:cs="Arial" w:eastAsia="Arial" w:hAnsi="Arial"/>
          <w:sz w:val="18"/>
          <w:szCs w:val="18"/>
          <w:color w:val="auto"/>
        </w:rPr>
        <w:t>. Each of the Partners represents and warrants that it is not a party to any agreement or arrangement, written or oral, to compensate or pay, directly or indirectly, a commission, finder’s fee, placement fee or other consideration or benefit to or for the benefit of any third party in connection with a Limited Partner’s investment in the Partnership.</w:t>
      </w:r>
    </w:p>
    <w:p>
      <w:pPr>
        <w:spacing w:after="0" w:line="184"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Execution in Counterparts; Binding Nature</w:t>
      </w:r>
      <w:r>
        <w:rPr>
          <w:rFonts w:ascii="Arial" w:cs="Arial" w:eastAsia="Arial" w:hAnsi="Arial"/>
          <w:sz w:val="18"/>
          <w:szCs w:val="18"/>
          <w:color w:val="auto"/>
        </w:rPr>
        <w:t>. This Agreement may be executed in any number of counterparts, each of which shall be deemed to be an original, but all of which together shall constitute one and the same instrument. No counterpart of this Agreement shall be binding unless signed by the General Partner. This Agreement shall be effective and become immediately enforceable and binding upon the General Partner and the Investor Limited Partner immediately upon the execution of this Agreement by such parties regardless of whether the Agreement is executed by the Special Limited Partner.</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004"/>
          </w:cols>
          <w:pgMar w:left="436" w:top="274" w:right="45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undersigned Partners have hereunto executed this Agreement as of the date first written above.</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PARTNER:</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SARISSA CAPITAL FUND GP LP</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DiPaolo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Mark DiPaolo</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Person</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 LIMITED PARTNER:</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INNOVIVA STRATEGIC PARTNERS LLC</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Marianne Zhen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Marianne Zhen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Accounting Officer</w:t>
      </w:r>
    </w:p>
    <w:p>
      <w:pPr>
        <w:sectPr>
          <w:pgSz w:w="11900" w:h="16838" w:orient="portrait"/>
          <w:cols w:equalWidth="0" w:num="1">
            <w:col w:w="9580"/>
          </w:cols>
          <w:pgMar w:left="880" w:top="274" w:right="143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A</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INVESTMENT OBJECTIVE AND STRATEGIES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Objective</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Investment Manager seeks to achieve superior risk-adjusted returns by constructing a portfolio, primarily across healthcare and related sectors, where there is a significant discrepancy between market value and intrinsic value. The Investment Manager will frequently use activism to close this discrepancy. The Investment Manager will employ a fundamental, research-driven, value-oriented approach to identify potential investments. The Investment Manager believes that its principals’ deep domain expertise in healthcare and related sectors, operational capabilities, scientific knowledge and extensive activist investing experience should enable it to enhance returns and effectively manage downside risk.</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Partnership will follow a similar investment strategy as Sarissa Capital Offshore Master Fund LP, except that the Partnership will not invest in short positions or hedging transactions.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Differentiated Approach to Value and Activist Investing</w:t>
      </w:r>
    </w:p>
    <w:p>
      <w:pPr>
        <w:spacing w:after="0" w:line="12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Investment Manager focuses on identifying companies that are fundamentally undervalued, primarily within healthcare and other related sectors. Typically, the Investment Manager targets companies for which both market value differs materially from intrinsic value and the Investment Manager believes actions can be taken to close the gap.</w:t>
      </w:r>
    </w:p>
    <w:p>
      <w:pPr>
        <w:spacing w:after="0" w:line="1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those situations, the Investment Manager will often seek to actively engage management/board members and the shareholder base to create value by leveraging the expertise of the Investment Manager’s management team. When appropriate, the Investment Manager will identify, promote and/or seek to undertake specific courses of action to increase shareholder value, including, among others, operational improvements, changes in capital structure and/or capital allocation, management changes and/or various other alternative courses of action.</w:t>
      </w:r>
    </w:p>
    <w:p>
      <w:pPr>
        <w:spacing w:after="0" w:line="17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Investment Manager believes its principals’ experience in improving target company operations and capital allocation practices is a key differentiating factor to its investment strategy and provides it with a competitive advantage.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Expertise in Healthcare and Related Sectors</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Investment Manager believes the healthcare sector contains a significant number of compelling investment opportunities for many reasons. For instance, the Investment Manager believes that the high profitability and high barriers to entry in the healthcare industry often lead to sub-optimal capital allocation and inefficient operations. The Investment Manager believes that its investment team is uniquely qualified to take advantage of these opportunities due to, among other attributes, its principals’ extensive experience managing investment portfolios, undertaking activist campaigns, operating companies (on both the board and management level), conducting and reviewing academic research, and serving as members of scientific advisory boards. The Investment Manager believes that its principals’ combination of healthcare expertise, scientific knowledge and activist investing experience provides it with institutional credibility to effect positive investment outcomes within the healthcare industry.</w:t>
      </w:r>
    </w:p>
    <w:p>
      <w:pPr>
        <w:sectPr>
          <w:pgSz w:w="11900" w:h="16838" w:orient="portrait"/>
          <w:cols w:equalWidth="0" w:num="1">
            <w:col w:w="10960"/>
          </w:cols>
          <w:pgMar w:left="440" w:top="274" w:right="4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Research Process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Investment Manager conducts rigorous, fundamentals-based research, leveraging its principals’ deep domain expertise and past experience in assessing the discrepancy between market value and intrinsic value.</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Investment Manager seeks to identify situations, primarily within healthcare and related sectors, where a company’s market value differs from its intrinsic value and where the Investment Manager believes that various actions can be taken to close the value gap. Some sources of investment ideas for the Investment Manager include the review of certain corporate actions and events, regulatory initiatives and decisions, investment and industry publications, scientific journals and research, proprietary screens and stock price fluctuations and trading activity, including insider buying or selling activities. The Investment Manager believes this investment identification process should provide it with investment opportunities where the Investment Manager can leverage its expertise and experience to proactively narrow the value gap.</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evaluating the merits of an investment, the Investment Manager may obtain information from the company’s financial statements and/or filings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any relevant governmental or regulatory actions or decisions regarding that company, publicly available scientific and clinical data, publications of proxy/governance advisory firms relating to that company, a review of any litigation relating to that company, including any relevant court documents, a review of financial statements and/or SEC filings of competitors, or conversations with management, management of competing companies, other investors or potential investors of that company, other industry participants, industry analysts, and/or other references. The ultimate goal of this analytical process is to identify, and obtain an in-depth understanding of, the determinants of, and the calculation of, intrinsic value, the delta between intrinsic value and market value, and the extent to which the Investment Manager believes it can leverage its expertise and experience to proactively close that value gap.</w:t>
      </w:r>
    </w:p>
    <w:p>
      <w:pPr>
        <w:spacing w:after="0" w:line="17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Investment Manager will re-evaluate portfolio positions on an ongoing basis, monitoring changes in the disparity between intrinsic value and market value, assessing whether any opportunities exist to implement or accelerate an activist program, and evaluating whether its investment thesis remains valid.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Construction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Investment Manager intends to construct a portfolio that will generally consist of not more than 20 long positions, primarily within healthcare and related sectors. The Partnership’s portfolio will consist solely of long positions in these sectors. Of these positions, the Investment Manager will seek to concentrate a significant portion of the Partnership’s capital into those core positions where the Investment Manager believes there to be the most significant value gap and the clearest path to proactively closing that gap. In determining the appropriate size of a position, the Investment Manager will consider various factors, including the potential return on investment and risk of loss, the existence and feasibility of a course of action to enhance value, liquidity, and the time horizon to implement its investment thesis. The Investment Manager expects that the time horizon for many of its investments will be tied to the timing of implementation of any value enhancing courses of action or other drivers of value and will likely be longer term in nature,</w:t>
      </w:r>
    </w:p>
    <w:p>
      <w:pPr>
        <w:sectPr>
          <w:pgSz w:w="11900" w:h="16838" w:orient="portrait"/>
          <w:cols w:equalWidth="0" w:num="1">
            <w:col w:w="11000"/>
          </w:cols>
          <w:pgMar w:left="440" w:top="270" w:right="459" w:bottom="1440" w:gutter="0" w:footer="0" w:header="0"/>
        </w:sectPr>
      </w:pPr>
    </w:p>
    <w:bookmarkStart w:id="67" w:name="page68"/>
    <w:bookmarkEnd w:id="67"/>
    <w:p>
      <w:pPr>
        <w:ind w:left="4" w:right="8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particularly for its core activist positions. The Investment Manager will constantly evaluate the Partnership’s portfolio using upside-downside fundamental analysis combined with an assessment of market conditions.</w:t>
      </w:r>
    </w:p>
    <w:p>
      <w:pPr>
        <w:spacing w:after="0" w:line="170" w:lineRule="exact"/>
        <w:rPr>
          <w:sz w:val="20"/>
          <w:szCs w:val="20"/>
          <w:color w:val="auto"/>
        </w:rPr>
      </w:pPr>
    </w:p>
    <w:p>
      <w:pPr>
        <w:ind w:left="4" w:right="80"/>
        <w:spacing w:after="0" w:line="254" w:lineRule="auto"/>
        <w:rPr>
          <w:sz w:val="20"/>
          <w:szCs w:val="20"/>
          <w:color w:val="auto"/>
        </w:rPr>
      </w:pPr>
      <w:r>
        <w:rPr>
          <w:rFonts w:ascii="Arial" w:cs="Arial" w:eastAsia="Arial" w:hAnsi="Arial"/>
          <w:sz w:val="18"/>
          <w:szCs w:val="18"/>
          <w:color w:val="auto"/>
        </w:rPr>
        <w:t>It is anticipated that the Investment Manager’s core activist positions may represent over half of the portfolio and the remainder of the positions will be comprised of potential core, past core and non-active value positions. The Investment Manager will apply its investment approach using primarily long equities and options. The Partnership’s portfolio will consist largely of exchange-traded securities (mostly equities but including equity-linked derivatives such as total return swaps and options), but the Partnership may also invest in a broad range of other financial instruments including, but not limited to, over-the-counter (OTC) equity securities and equity linked derivatives such as total return swaps and options (including index funds), privately placed securities of public issuers (</w:t>
      </w:r>
      <w:r>
        <w:rPr>
          <w:rFonts w:ascii="Arial" w:cs="Arial" w:eastAsia="Arial" w:hAnsi="Arial"/>
          <w:sz w:val="18"/>
          <w:szCs w:val="18"/>
          <w:b w:val="1"/>
          <w:bCs w:val="1"/>
          <w:color w:val="auto"/>
        </w:rPr>
        <w:t>PIPEs</w:t>
      </w:r>
      <w:r>
        <w:rPr>
          <w:rFonts w:ascii="Arial" w:cs="Arial" w:eastAsia="Arial" w:hAnsi="Arial"/>
          <w:sz w:val="18"/>
          <w:szCs w:val="18"/>
          <w:color w:val="auto"/>
        </w:rPr>
        <w:t>), preferred stock, convertible debt, currencies and fixed income securities (including credit default swaps). The Partnership may also invest in or sponsor special purpose acquisition companies (</w:t>
      </w:r>
      <w:r>
        <w:rPr>
          <w:rFonts w:ascii="Arial" w:cs="Arial" w:eastAsia="Arial" w:hAnsi="Arial"/>
          <w:sz w:val="18"/>
          <w:szCs w:val="18"/>
          <w:b w:val="1"/>
          <w:bCs w:val="1"/>
          <w:color w:val="auto"/>
        </w:rPr>
        <w:t>SPACs</w:t>
      </w:r>
      <w:r>
        <w:rPr>
          <w:rFonts w:ascii="Arial" w:cs="Arial" w:eastAsia="Arial" w:hAnsi="Arial"/>
          <w:sz w:val="18"/>
          <w:szCs w:val="18"/>
          <w:color w:val="auto"/>
        </w:rPr>
        <w:t>) that seek to acquire companies in the healthcare or related sectors.</w:t>
      </w:r>
    </w:p>
    <w:p>
      <w:pPr>
        <w:spacing w:after="0" w:line="192"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The Partnership is expressly permitted subject to the terms of the Partnership Agreement to purchase securities of non-public companies to the extent the Investment Manager determines such investments present attractive long-term opportunities. The Partnership will seek to invest in those private companies with innovative, robust science and technology that satisfy important unmet medical needs and with strong intellectual property profile or other indicia of asset or business durability. These can include strategic investments in private healthcare companies that potentially are likely to experience a catalyst event, including a public listing, where the Investment Manager can significantly influence the value creation.</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jc w:val="both"/>
        <w:ind w:left="4" w:right="220"/>
        <w:spacing w:after="0" w:line="311" w:lineRule="auto"/>
        <w:rPr>
          <w:sz w:val="20"/>
          <w:szCs w:val="20"/>
          <w:color w:val="auto"/>
        </w:rPr>
      </w:pPr>
      <w:r>
        <w:rPr>
          <w:rFonts w:ascii="Arial" w:cs="Arial" w:eastAsia="Arial" w:hAnsi="Arial"/>
          <w:sz w:val="16"/>
          <w:szCs w:val="16"/>
          <w:color w:val="auto"/>
        </w:rPr>
        <w:t>The Investment Manager’s ultimate goal is to maximize risk-adjusted returns on the Partnership’s capital. Risk management is an important part of its investment program and the Investment Manager intends to allocate substantial resources to managing and monitoring risk. The Investment Manager will seek to manage the risks of the Partnership’s portfolio primarily by purchasing those investments at substantial discounts to intrinsic value.</w:t>
      </w:r>
    </w:p>
    <w:p>
      <w:pPr>
        <w:spacing w:after="0" w:line="149" w:lineRule="exact"/>
        <w:rPr>
          <w:sz w:val="20"/>
          <w:szCs w:val="20"/>
          <w:color w:val="auto"/>
        </w:rPr>
      </w:pPr>
    </w:p>
    <w:p>
      <w:pPr>
        <w:jc w:val="both"/>
        <w:ind w:left="4" w:right="40"/>
        <w:spacing w:after="0" w:line="311" w:lineRule="auto"/>
        <w:rPr>
          <w:sz w:val="20"/>
          <w:szCs w:val="20"/>
          <w:color w:val="auto"/>
        </w:rPr>
      </w:pPr>
      <w:r>
        <w:rPr>
          <w:rFonts w:ascii="Arial" w:cs="Arial" w:eastAsia="Arial" w:hAnsi="Arial"/>
          <w:sz w:val="16"/>
          <w:szCs w:val="16"/>
          <w:color w:val="auto"/>
        </w:rPr>
        <w:t>In addition, as part of its risk management strategy, the Investment Manager will actively manage the Partnership’s portfolio and constantly re-evaluate positions to monitor changes in the disparity between intrinsic value and market values and to generally gauge exposure, on a position by position basis, as well as by industry and/or in respect of the overall market. The Investment Manager will not hedge the Partnership’s portfolio against market risks.</w:t>
      </w:r>
    </w:p>
    <w:p>
      <w:pPr>
        <w:spacing w:after="0" w:line="149"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Investment Manager will limit the Partnership’s exposure to any single issuer so that the securities issued by, or otherwise underlying, a single issuer do not exceed 20% of the Partnership’s net asset value, both measured at the time of acquisition of the applicable securities. In addition, the Investment Manager intends to limit the Partnership’s ability to incur leverage so that the Partnership’s gross exposure</w:t>
      </w:r>
      <w:r>
        <w:rPr>
          <w:rFonts w:ascii="Arial" w:cs="Arial" w:eastAsia="Arial" w:hAnsi="Arial"/>
          <w:sz w:val="15"/>
          <w:szCs w:val="15"/>
          <w:color w:val="auto"/>
        </w:rPr>
        <w:t>1</w:t>
      </w:r>
      <w:r>
        <w:rPr>
          <w:rFonts w:ascii="Arial" w:cs="Arial" w:eastAsia="Arial" w:hAnsi="Arial"/>
          <w:sz w:val="18"/>
          <w:szCs w:val="18"/>
          <w:color w:val="auto"/>
        </w:rPr>
        <w:t xml:space="preserve"> will not exceed 250%. In normal circumstances,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224" w:hanging="224"/>
        <w:spacing w:after="0"/>
        <w:tabs>
          <w:tab w:leader="none" w:pos="224" w:val="left"/>
        </w:tabs>
        <w:numPr>
          <w:ilvl w:val="0"/>
          <w:numId w:val="86"/>
        </w:numPr>
        <w:rPr>
          <w:rFonts w:ascii="Arial" w:cs="Arial" w:eastAsia="Arial" w:hAnsi="Arial"/>
          <w:sz w:val="15"/>
          <w:szCs w:val="15"/>
          <w:color w:val="auto"/>
        </w:rPr>
      </w:pPr>
      <w:r>
        <w:rPr>
          <w:rFonts w:ascii="Arial" w:cs="Arial" w:eastAsia="Arial" w:hAnsi="Arial"/>
          <w:sz w:val="18"/>
          <w:szCs w:val="18"/>
          <w:color w:val="auto"/>
        </w:rPr>
        <w:t>Gross exposure is the sum of the fair value of the Partnership’s positions, divided by the Partnership’s net asset value.</w:t>
      </w:r>
    </w:p>
    <w:p>
      <w:pPr>
        <w:sectPr>
          <w:pgSz w:w="11900" w:h="16838" w:orient="portrait"/>
          <w:cols w:equalWidth="0" w:num="1">
            <w:col w:w="11004"/>
          </w:cols>
          <w:pgMar w:left="436" w:top="274" w:right="459" w:bottom="1440" w:gutter="0" w:footer="0" w:header="0"/>
        </w:sectPr>
      </w:pPr>
    </w:p>
    <w:bookmarkStart w:id="68" w:name="page69"/>
    <w:bookmarkEnd w:id="68"/>
    <w:p>
      <w:pPr>
        <w:ind w:left="4" w:right="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Investment Manager intends to manage the Partnership with gross exposure less than 150% and net exposure</w:t>
      </w:r>
      <w:r>
        <w:rPr>
          <w:rFonts w:ascii="Arial" w:cs="Arial" w:eastAsia="Arial" w:hAnsi="Arial"/>
          <w:sz w:val="14"/>
          <w:szCs w:val="14"/>
          <w:color w:val="auto"/>
        </w:rPr>
        <w:t>2</w:t>
      </w:r>
      <w:r>
        <w:rPr>
          <w:rFonts w:ascii="Arial" w:cs="Arial" w:eastAsia="Arial" w:hAnsi="Arial"/>
          <w:sz w:val="17"/>
          <w:szCs w:val="17"/>
          <w:color w:val="auto"/>
        </w:rPr>
        <w:t xml:space="preserve"> less than 100%. There are no other diversification or concentration limits relating to the Partnership, nor any other limitations on position size or exposure.</w:t>
      </w:r>
    </w:p>
    <w:p>
      <w:pPr>
        <w:spacing w:after="0" w:line="142" w:lineRule="exact"/>
        <w:rPr>
          <w:sz w:val="20"/>
          <w:szCs w:val="20"/>
          <w:color w:val="auto"/>
        </w:rPr>
      </w:pPr>
    </w:p>
    <w:p>
      <w:pPr>
        <w:ind w:left="4" w:right="140"/>
        <w:spacing w:after="0" w:line="255" w:lineRule="auto"/>
        <w:rPr>
          <w:sz w:val="20"/>
          <w:szCs w:val="20"/>
          <w:color w:val="auto"/>
        </w:rPr>
      </w:pPr>
      <w:r>
        <w:rPr>
          <w:rFonts w:ascii="Arial" w:cs="Arial" w:eastAsia="Arial" w:hAnsi="Arial"/>
          <w:sz w:val="18"/>
          <w:szCs w:val="18"/>
          <w:b w:val="1"/>
          <w:bCs w:val="1"/>
          <w:color w:val="auto"/>
        </w:rPr>
        <w:t>NOTWITHSTANDING ANYTHING TO THE CONTRARY HEREIN, THERE ARE NO LIMITATIONS ON THE MARKETS OR TYPES OF INSTRUMENTS IN WHICH THE PARTNERSHIP MAY INVEST. THERE ARE NEITHER FORMAL DIVERSIFICATION OR CONCENTRATION LIMITS RELATING TO THE PARTNERSHIP, NOR ANY LIMITATIONS ON POSITION SIZE OR LEVERAGE OTHER THAN THOSE MENTIONED IN THE IMMEDIATELY PRECEDING PARAGRAPH. THE PARTNERSHIP MAY PURSUE INVESTMENT STRATEGIES NOT DESCRIBED HEREIN THAT THE INVESTMENT MANAGER CONSIDERS APPROPRIATE. THE DESCRIPTIONS HEREIN OF THE PARTNERSHIP’S STRATEGIES AND INVESTMENT ACTIVITIES SHOULD NOT BE UNDERSTOOD AS LIMITING THE PARTNERSHIP IN ANY WAY.</w:t>
      </w:r>
    </w:p>
    <w:p>
      <w:pPr>
        <w:spacing w:after="0" w:line="189" w:lineRule="exact"/>
        <w:rPr>
          <w:sz w:val="20"/>
          <w:szCs w:val="20"/>
          <w:color w:val="auto"/>
        </w:rPr>
      </w:pPr>
    </w:p>
    <w:p>
      <w:pPr>
        <w:ind w:left="4"/>
        <w:spacing w:after="0" w:line="266" w:lineRule="auto"/>
        <w:rPr>
          <w:sz w:val="20"/>
          <w:szCs w:val="20"/>
          <w:color w:val="auto"/>
        </w:rPr>
      </w:pPr>
      <w:r>
        <w:rPr>
          <w:rFonts w:ascii="Arial" w:cs="Arial" w:eastAsia="Arial" w:hAnsi="Arial"/>
          <w:sz w:val="18"/>
          <w:szCs w:val="18"/>
          <w:b w:val="1"/>
          <w:bCs w:val="1"/>
          <w:color w:val="auto"/>
        </w:rPr>
        <w:t>THE INVESTMENT MANAGER’S INVESTING ACTIVITIES ARE SPECULATIVE AND ENTAIL SIGNIFICANT RISKS, MANY OF WHICH ARE OUTSIDE OF THE INVESTMENT MANAGER’S CONTROL AND/OR MAY NOT BE REASONABLY FORSEEABLE. SEE EXHIBIT C, “CERTAIN RISK FACTORS”, IN THE INVESTOR SUBSCRIPTION BOOKLET.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224" w:hanging="224"/>
        <w:spacing w:after="0"/>
        <w:tabs>
          <w:tab w:leader="none" w:pos="224" w:val="left"/>
        </w:tabs>
        <w:numPr>
          <w:ilvl w:val="0"/>
          <w:numId w:val="87"/>
        </w:numPr>
        <w:rPr>
          <w:rFonts w:ascii="Arial" w:cs="Arial" w:eastAsia="Arial" w:hAnsi="Arial"/>
          <w:sz w:val="15"/>
          <w:szCs w:val="15"/>
          <w:color w:val="auto"/>
        </w:rPr>
      </w:pPr>
      <w:r>
        <w:rPr>
          <w:rFonts w:ascii="Arial" w:cs="Arial" w:eastAsia="Arial" w:hAnsi="Arial"/>
          <w:sz w:val="18"/>
          <w:szCs w:val="18"/>
          <w:color w:val="auto"/>
        </w:rPr>
        <w:t>Net exposure is the difference between the fair value of the Partnership’s positions, divided by the Partnership’s net asset value.</w:t>
      </w:r>
    </w:p>
    <w:sectPr>
      <w:pgSz w:w="11900" w:h="16838" w:orient="portrait"/>
      <w:cols w:equalWidth="0" w:num="1">
        <w:col w:w="10924"/>
      </w:cols>
      <w:pgMar w:left="436"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decimal"/>
      <w:start w:val="104"/>
    </w:lvl>
    <w:lvl w:ilvl="1">
      <w:lvlJc w:val="left"/>
      <w:lvlText w:val="-"/>
      <w:numFmt w:val="bullet"/>
      <w:start w:val="1"/>
    </w:lvl>
  </w:abstractNum>
  <w:abstractNum w:abstractNumId="2">
    <w:nsid w:val="57E4CCA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
    <w:nsid w:val="7A6D8D3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
    <w:nsid w:val="4B588F54"/>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5">
    <w:nsid w:val="542289EC"/>
    <w:multiLevelType w:val="hybridMultilevel"/>
    <w:lvl w:ilvl="0">
      <w:lvlJc w:val="left"/>
      <w:lvlText w:val="(%1)"/>
      <w:numFmt w:val="lowerRoman"/>
      <w:start w:val="2"/>
    </w:lvl>
  </w:abstractNum>
  <w:abstractNum w:abstractNumId="6">
    <w:nsid w:val="6DE91B18"/>
    <w:multiLevelType w:val="hybridMultilevel"/>
    <w:lvl w:ilvl="0">
      <w:lvlJc w:val="left"/>
      <w:lvlText w:val="(%1)"/>
      <w:numFmt w:val="lowerLetter"/>
      <w:start w:val="2"/>
    </w:lvl>
  </w:abstractNum>
  <w:abstractNum w:abstractNumId="7">
    <w:nsid w:val="38437FDB"/>
    <w:multiLevelType w:val="hybridMultilevel"/>
    <w:lvl w:ilvl="0">
      <w:lvlJc w:val="left"/>
      <w:lvlText w:val="(%1)"/>
      <w:numFmt w:val="lowerLetter"/>
      <w:start w:val="5"/>
    </w:lvl>
  </w:abstractNum>
  <w:abstractNum w:abstractNumId="8">
    <w:nsid w:val="7644A45C"/>
    <w:multiLevelType w:val="hybridMultilevel"/>
    <w:lvl w:ilvl="0">
      <w:lvlJc w:val="left"/>
      <w:lvlText w:val="(%1)"/>
      <w:numFmt w:val="lowerRoman"/>
      <w:start w:val="1"/>
    </w:lvl>
  </w:abstractNum>
  <w:abstractNum w:abstractNumId="9">
    <w:nsid w:val="32FFF902"/>
    <w:multiLevelType w:val="hybridMultilevel"/>
    <w:lvl w:ilvl="0">
      <w:lvlJc w:val="left"/>
      <w:lvlText w:val="(%1)"/>
      <w:numFmt w:val="lowerLetter"/>
      <w:start w:val="7"/>
    </w:lvl>
  </w:abstractNum>
  <w:abstractNum w:abstractNumId="10">
    <w:nsid w:val="684A481A"/>
    <w:multiLevelType w:val="hybridMultilevel"/>
    <w:lvl w:ilvl="0">
      <w:lvlJc w:val="left"/>
      <w:lvlText w:val="(%1)"/>
      <w:numFmt w:val="lowerLetter"/>
      <w:start w:val="8"/>
    </w:lvl>
    <w:lvl w:ilvl="1">
      <w:lvlJc w:val="left"/>
      <w:lvlText w:val="%2."/>
      <w:numFmt w:val="decimal"/>
      <w:start w:val="2"/>
    </w:lvl>
  </w:abstractNum>
  <w:abstractNum w:abstractNumId="11">
    <w:nsid w:val="579478FE"/>
    <w:multiLevelType w:val="hybridMultilevel"/>
    <w:lvl w:ilvl="0">
      <w:lvlJc w:val="left"/>
      <w:lvlText w:val="(%1)"/>
      <w:numFmt w:val="lowerLetter"/>
      <w:start w:val="1"/>
    </w:lvl>
  </w:abstractNum>
  <w:abstractNum w:abstractNumId="12">
    <w:nsid w:val="749ABB43"/>
    <w:multiLevelType w:val="hybridMultilevel"/>
    <w:lvl w:ilvl="0">
      <w:lvlJc w:val="left"/>
      <w:lvlText w:val="(%1)"/>
      <w:numFmt w:val="lowerLetter"/>
      <w:start w:val="6"/>
    </w:lvl>
    <w:lvl w:ilvl="1">
      <w:lvlJc w:val="left"/>
      <w:lvlText w:val="%2."/>
      <w:numFmt w:val="decimal"/>
      <w:start w:val="4"/>
    </w:lvl>
  </w:abstractNum>
  <w:abstractNum w:abstractNumId="13">
    <w:nsid w:val="3DC240FB"/>
    <w:multiLevelType w:val="hybridMultilevel"/>
    <w:lvl w:ilvl="0">
      <w:lvlJc w:val="left"/>
      <w:lvlText w:val="(%1)"/>
      <w:numFmt w:val="lowerLetter"/>
      <w:start w:val="1"/>
    </w:lvl>
  </w:abstractNum>
  <w:abstractNum w:abstractNumId="14">
    <w:nsid w:val="1BA026FA"/>
    <w:multiLevelType w:val="hybridMultilevel"/>
    <w:lvl w:ilvl="0">
      <w:lvlJc w:val="left"/>
      <w:lvlText w:val="%1"/>
      <w:numFmt w:val="lowerLetter"/>
      <w:start w:val="1"/>
    </w:lvl>
    <w:lvl w:ilvl="1">
      <w:lvlJc w:val="left"/>
      <w:lvlText w:val="%2."/>
      <w:numFmt w:val="decimal"/>
      <w:start w:val="5"/>
    </w:lvl>
  </w:abstractNum>
  <w:abstractNum w:abstractNumId="15">
    <w:nsid w:val="79A1DEAA"/>
    <w:multiLevelType w:val="hybridMultilevel"/>
    <w:lvl w:ilvl="0">
      <w:lvlJc w:val="left"/>
      <w:lvlText w:val="(%1)"/>
      <w:numFmt w:val="lowerLetter"/>
      <w:start w:val="1"/>
    </w:lvl>
    <w:lvl w:ilvl="1">
      <w:lvlJc w:val="left"/>
      <w:lvlText w:val="%2"/>
      <w:numFmt w:val="decimal"/>
      <w:start w:val="1"/>
    </w:lvl>
  </w:abstractNum>
  <w:abstractNum w:abstractNumId="16">
    <w:nsid w:val="75C6C33A"/>
    <w:multiLevelType w:val="hybridMultilevel"/>
    <w:lvl w:ilvl="0">
      <w:lvlJc w:val="left"/>
      <w:lvlText w:val="(%1)"/>
      <w:numFmt w:val="lowerLetter"/>
      <w:start w:val="2"/>
    </w:lvl>
  </w:abstractNum>
  <w:abstractNum w:abstractNumId="17">
    <w:nsid w:val="12E685FB"/>
    <w:multiLevelType w:val="hybridMultilevel"/>
    <w:lvl w:ilvl="0">
      <w:lvlJc w:val="left"/>
      <w:lvlText w:val="%1"/>
      <w:numFmt w:val="lowerLetter"/>
      <w:start w:val="1"/>
    </w:lvl>
    <w:lvl w:ilvl="1">
      <w:lvlJc w:val="left"/>
      <w:lvlText w:val="%2."/>
      <w:numFmt w:val="decimal"/>
      <w:start w:val="6"/>
    </w:lvl>
  </w:abstractNum>
  <w:abstractNum w:abstractNumId="18">
    <w:nsid w:val="70C6A529"/>
    <w:multiLevelType w:val="hybridMultilevel"/>
    <w:lvl w:ilvl="0">
      <w:lvlJc w:val="left"/>
      <w:lvlText w:val="(%1)"/>
      <w:numFmt w:val="lowerLetter"/>
      <w:start w:val="1"/>
    </w:lvl>
    <w:lvl w:ilvl="1">
      <w:lvlJc w:val="left"/>
      <w:lvlText w:val="%2"/>
      <w:numFmt w:val="decimal"/>
      <w:start w:val="1"/>
    </w:lvl>
  </w:abstractNum>
  <w:abstractNum w:abstractNumId="19">
    <w:nsid w:val="520EEDD1"/>
    <w:multiLevelType w:val="hybridMultilevel"/>
    <w:lvl w:ilvl="0">
      <w:lvlJc w:val="left"/>
      <w:lvlText w:val="(%1)"/>
      <w:numFmt w:val="lowerLetter"/>
      <w:start w:val="2"/>
    </w:lvl>
  </w:abstractNum>
  <w:abstractNum w:abstractNumId="20">
    <w:nsid w:val="374A3FE6"/>
    <w:multiLevelType w:val="hybridMultilevel"/>
    <w:lvl w:ilvl="0">
      <w:lvlJc w:val="left"/>
      <w:lvlText w:val="%1."/>
      <w:numFmt w:val="decimal"/>
      <w:start w:val="8"/>
    </w:lvl>
  </w:abstractNum>
  <w:abstractNum w:abstractNumId="21">
    <w:nsid w:val="4F4EF005"/>
    <w:multiLevelType w:val="hybridMultilevel"/>
    <w:lvl w:ilvl="0">
      <w:lvlJc w:val="left"/>
      <w:lvlText w:val="%1."/>
      <w:numFmt w:val="decimal"/>
      <w:start w:val="12"/>
    </w:lvl>
  </w:abstractNum>
  <w:abstractNum w:abstractNumId="22">
    <w:nsid w:val="23F9C13C"/>
    <w:multiLevelType w:val="hybridMultilevel"/>
    <w:lvl w:ilvl="0">
      <w:lvlJc w:val="left"/>
      <w:lvlText w:val="(%1)"/>
      <w:numFmt w:val="lowerRoman"/>
      <w:start w:val="1"/>
    </w:lvl>
  </w:abstractNum>
  <w:abstractNum w:abstractNumId="23">
    <w:nsid w:val="649BB77C"/>
    <w:multiLevelType w:val="hybridMultilevel"/>
    <w:lvl w:ilvl="0">
      <w:lvlJc w:val="left"/>
      <w:lvlText w:val="%1"/>
      <w:numFmt w:val="lowerLetter"/>
      <w:start w:val="1"/>
    </w:lvl>
    <w:lvl w:ilvl="1">
      <w:lvlJc w:val="left"/>
      <w:lvlText w:val="(%2)"/>
      <w:numFmt w:val="lowerLetter"/>
      <w:start w:val="1"/>
    </w:lvl>
  </w:abstractNum>
  <w:abstractNum w:abstractNumId="24">
    <w:nsid w:val="275AC794"/>
    <w:multiLevelType w:val="hybridMultilevel"/>
    <w:lvl w:ilvl="0">
      <w:lvlJc w:val="left"/>
      <w:lvlText w:val="(%1)"/>
      <w:numFmt w:val="lowerLetter"/>
      <w:start w:val="35"/>
    </w:lvl>
    <w:lvl w:ilvl="1">
      <w:lvlJc w:val="left"/>
      <w:lvlText w:val="%2"/>
      <w:numFmt w:val="lowerLetter"/>
      <w:start w:val="1"/>
    </w:lvl>
  </w:abstractNum>
  <w:abstractNum w:abstractNumId="25">
    <w:nsid w:val="39386575"/>
    <w:multiLevelType w:val="hybridMultilevel"/>
    <w:lvl w:ilvl="0">
      <w:lvlJc w:val="left"/>
      <w:lvlText w:val="(%1)"/>
      <w:numFmt w:val="lowerLetter"/>
      <w:start w:val="5"/>
    </w:lvl>
  </w:abstractNum>
  <w:abstractNum w:abstractNumId="26">
    <w:nsid w:val="1CF10FD8"/>
    <w:multiLevelType w:val="hybridMultilevel"/>
    <w:lvl w:ilvl="0">
      <w:lvlJc w:val="left"/>
      <w:lvlText w:val="(%1)"/>
      <w:numFmt w:val="upperLetter"/>
      <w:start w:val="2"/>
    </w:lvl>
  </w:abstractNum>
  <w:abstractNum w:abstractNumId="27">
    <w:nsid w:val="180115BE"/>
    <w:multiLevelType w:val="hybridMultilevel"/>
    <w:lvl w:ilvl="0">
      <w:lvlJc w:val="left"/>
      <w:lvlText w:val="(%1)"/>
      <w:numFmt w:val="lowerRoman"/>
      <w:start w:val="2"/>
    </w:lvl>
  </w:abstractNum>
  <w:abstractNum w:abstractNumId="28">
    <w:nsid w:val="235BA861"/>
    <w:multiLevelType w:val="hybridMultilevel"/>
    <w:lvl w:ilvl="0">
      <w:lvlJc w:val="left"/>
      <w:lvlText w:val="(%1)"/>
      <w:numFmt w:val="lowerRoman"/>
      <w:start w:val="5"/>
    </w:lvl>
  </w:abstractNum>
  <w:abstractNum w:abstractNumId="29">
    <w:nsid w:val="47398C89"/>
    <w:multiLevelType w:val="hybridMultilevel"/>
    <w:lvl w:ilvl="0">
      <w:lvlJc w:val="left"/>
      <w:lvlText w:val="(%1)"/>
      <w:numFmt w:val="lowerLetter"/>
      <w:start w:val="2"/>
    </w:lvl>
    <w:lvl w:ilvl="1">
      <w:lvlJc w:val="left"/>
      <w:lvlText w:val="(%2)"/>
      <w:numFmt w:val="lowerRoman"/>
      <w:start w:val="1"/>
    </w:lvl>
  </w:abstractNum>
  <w:abstractNum w:abstractNumId="30">
    <w:nsid w:val="354FE9F9"/>
    <w:multiLevelType w:val="hybridMultilevel"/>
    <w:lvl w:ilvl="0">
      <w:lvlJc w:val="left"/>
      <w:lvlText w:val="%1"/>
      <w:numFmt w:val="lowerLetter"/>
      <w:start w:val="1"/>
    </w:lvl>
    <w:lvl w:ilvl="1">
      <w:lvlJc w:val="left"/>
      <w:lvlText w:val="(%2)"/>
      <w:numFmt w:val="lowerRoman"/>
      <w:start w:val="5"/>
    </w:lvl>
  </w:abstractNum>
  <w:abstractNum w:abstractNumId="31">
    <w:nsid w:val="15B5AF5C"/>
    <w:multiLevelType w:val="hybridMultilevel"/>
    <w:lvl w:ilvl="0">
      <w:lvlJc w:val="left"/>
      <w:lvlText w:val="(%1)"/>
      <w:numFmt w:val="lowerLetter"/>
      <w:start w:val="3"/>
    </w:lvl>
    <w:lvl w:ilvl="1">
      <w:lvlJc w:val="left"/>
      <w:lvlText w:val="(%2)"/>
      <w:numFmt w:val="lowerRoman"/>
      <w:start w:val="1"/>
    </w:lvl>
  </w:abstractNum>
  <w:abstractNum w:abstractNumId="32">
    <w:nsid w:val="741226BB"/>
    <w:multiLevelType w:val="hybridMultilevel"/>
    <w:lvl w:ilvl="0">
      <w:lvlJc w:val="left"/>
      <w:lvlText w:val="%1"/>
      <w:numFmt w:val="lowerLetter"/>
      <w:start w:val="1"/>
    </w:lvl>
    <w:lvl w:ilvl="1">
      <w:lvlJc w:val="left"/>
      <w:lvlText w:val="(%2)"/>
      <w:numFmt w:val="lowerRoman"/>
      <w:start w:val="4"/>
    </w:lvl>
  </w:abstractNum>
  <w:abstractNum w:abstractNumId="33">
    <w:nsid w:val="D34B6A8"/>
    <w:multiLevelType w:val="hybridMultilevel"/>
    <w:lvl w:ilvl="0">
      <w:lvlJc w:val="left"/>
      <w:lvlText w:val="(%1)"/>
      <w:numFmt w:val="lowerLetter"/>
      <w:start w:val="4"/>
    </w:lvl>
    <w:lvl w:ilvl="1">
      <w:lvlJc w:val="left"/>
      <w:lvlText w:val="%2"/>
      <w:numFmt w:val="lowerRoman"/>
      <w:start w:val="1"/>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1)"/>
      <w:numFmt w:val="lowerLetter"/>
      <w:start w:val="3"/>
    </w:lvl>
  </w:abstractNum>
  <w:abstractNum w:abstractNumId="36">
    <w:nsid w:val="61574095"/>
    <w:multiLevelType w:val="hybridMultilevel"/>
    <w:lvl w:ilvl="0">
      <w:lvlJc w:val="left"/>
      <w:lvlText w:val="(%1)"/>
      <w:numFmt w:val="lowerLetter"/>
      <w:start w:val="1"/>
    </w:lvl>
  </w:abstractNum>
  <w:abstractNum w:abstractNumId="37">
    <w:nsid w:val="7E0C57B1"/>
    <w:multiLevelType w:val="hybridMultilevel"/>
    <w:lvl w:ilvl="0">
      <w:lvlJc w:val="left"/>
      <w:lvlText w:val="(%1)"/>
      <w:numFmt w:val="lowerLetter"/>
      <w:start w:val="2"/>
    </w:lvl>
  </w:abstractNum>
  <w:abstractNum w:abstractNumId="38">
    <w:nsid w:val="77AE35EB"/>
    <w:multiLevelType w:val="hybridMultilevel"/>
    <w:lvl w:ilvl="0">
      <w:lvlJc w:val="left"/>
      <w:lvlText w:val="(%1)"/>
      <w:numFmt w:val="lowerLetter"/>
      <w:start w:val="1"/>
    </w:lvl>
  </w:abstractNum>
  <w:abstractNum w:abstractNumId="39">
    <w:nsid w:val="579BE4F1"/>
    <w:multiLevelType w:val="hybridMultilevel"/>
    <w:lvl w:ilvl="0">
      <w:lvlJc w:val="left"/>
      <w:lvlText w:val="(%1)"/>
      <w:numFmt w:val="lowerLetter"/>
      <w:start w:val="2"/>
    </w:lvl>
  </w:abstractNum>
  <w:abstractNum w:abstractNumId="40">
    <w:nsid w:val="310C50B3"/>
    <w:multiLevelType w:val="hybridMultilevel"/>
    <w:lvl w:ilvl="0">
      <w:lvlJc w:val="left"/>
      <w:lvlText w:val="(%1)"/>
      <w:numFmt w:val="lowerLetter"/>
      <w:start w:val="4"/>
    </w:lvl>
  </w:abstractNum>
  <w:abstractNum w:abstractNumId="41">
    <w:nsid w:val="5FF87E05"/>
    <w:multiLevelType w:val="hybridMultilevel"/>
    <w:lvl w:ilvl="0">
      <w:lvlJc w:val="left"/>
      <w:lvlText w:val="(%1)"/>
      <w:numFmt w:val="lowerLetter"/>
      <w:start w:val="2"/>
    </w:lvl>
  </w:abstractNum>
  <w:abstractNum w:abstractNumId="42">
    <w:nsid w:val="2F305DEF"/>
    <w:multiLevelType w:val="hybridMultilevel"/>
    <w:lvl w:ilvl="0">
      <w:lvlJc w:val="left"/>
      <w:lvlText w:val="(%1)"/>
      <w:numFmt w:val="lowerLetter"/>
      <w:start w:val="1"/>
    </w:lvl>
  </w:abstractNum>
  <w:abstractNum w:abstractNumId="43">
    <w:nsid w:val="25A70BF7"/>
    <w:multiLevelType w:val="hybridMultilevel"/>
    <w:lvl w:ilvl="0">
      <w:lvlJc w:val="left"/>
      <w:lvlText w:val="(%1)"/>
      <w:numFmt w:val="lowerLetter"/>
      <w:start w:val="3"/>
    </w:lvl>
    <w:lvl w:ilvl="1">
      <w:lvlJc w:val="left"/>
      <w:lvlText w:val="(%2)"/>
      <w:numFmt w:val="lowerRoman"/>
      <w:start w:val="1"/>
    </w:lvl>
  </w:abstractNum>
  <w:abstractNum w:abstractNumId="44">
    <w:nsid w:val="1DBABF00"/>
    <w:multiLevelType w:val="hybridMultilevel"/>
    <w:lvl w:ilvl="0">
      <w:lvlJc w:val="left"/>
      <w:lvlText w:val="(%1)"/>
      <w:numFmt w:val="lowerLetter"/>
      <w:start w:val="1"/>
    </w:lvl>
  </w:abstractNum>
  <w:abstractNum w:abstractNumId="45">
    <w:nsid w:val="4AD084E9"/>
    <w:multiLevelType w:val="hybridMultilevel"/>
    <w:lvl w:ilvl="0">
      <w:lvlJc w:val="left"/>
      <w:lvlText w:val="(%1)"/>
      <w:numFmt w:val="lowerLetter"/>
      <w:start w:val="1"/>
    </w:lvl>
    <w:lvl w:ilvl="1">
      <w:lvlJc w:val="left"/>
      <w:lvlText w:val="(%2)"/>
      <w:numFmt w:val="lowerLetter"/>
      <w:start w:val="9"/>
    </w:lvl>
  </w:abstractNum>
  <w:abstractNum w:abstractNumId="46">
    <w:nsid w:val="1F48EAA1"/>
    <w:multiLevelType w:val="hybridMultilevel"/>
    <w:lvl w:ilvl="0">
      <w:lvlJc w:val="left"/>
      <w:lvlText w:val="%1"/>
      <w:numFmt w:val="lowerLetter"/>
      <w:start w:val="1"/>
    </w:lvl>
    <w:lvl w:ilvl="1">
      <w:lvlJc w:val="left"/>
      <w:lvlText w:val="(%2)"/>
      <w:numFmt w:val="lowerLetter"/>
      <w:start w:val="35"/>
    </w:lvl>
  </w:abstractNum>
  <w:abstractNum w:abstractNumId="47">
    <w:nsid w:val="1381823A"/>
    <w:multiLevelType w:val="hybridMultilevel"/>
    <w:lvl w:ilvl="0">
      <w:lvlJc w:val="left"/>
      <w:lvlText w:val="(%1)"/>
      <w:numFmt w:val="lowerLetter"/>
      <w:start w:val="2"/>
    </w:lvl>
    <w:lvl w:ilvl="1">
      <w:lvlJc w:val="left"/>
      <w:lvlText w:val="%2"/>
      <w:numFmt w:val="lowerLetter"/>
      <w:start w:val="1"/>
    </w:lvl>
  </w:abstractNum>
  <w:abstractNum w:abstractNumId="48">
    <w:nsid w:val="5DB70AE5"/>
    <w:multiLevelType w:val="hybridMultilevel"/>
    <w:lvl w:ilvl="0">
      <w:lvlJc w:val="left"/>
      <w:lvlText w:val="(%1)"/>
      <w:numFmt w:val="lowerLetter"/>
      <w:start w:val="5"/>
    </w:lvl>
  </w:abstractNum>
  <w:abstractNum w:abstractNumId="49">
    <w:nsid w:val="100F8FCA"/>
    <w:multiLevelType w:val="hybridMultilevel"/>
    <w:lvl w:ilvl="0">
      <w:lvlJc w:val="left"/>
      <w:lvlText w:val="(%1)"/>
      <w:numFmt w:val="lowerLetter"/>
      <w:start w:val="7"/>
    </w:lvl>
  </w:abstractNum>
  <w:abstractNum w:abstractNumId="50">
    <w:nsid w:val="6590700B"/>
    <w:multiLevelType w:val="hybridMultilevel"/>
    <w:lvl w:ilvl="0">
      <w:lvlJc w:val="left"/>
      <w:lvlText w:val="(%1)"/>
      <w:numFmt w:val="lowerLetter"/>
      <w:start w:val="2"/>
    </w:lvl>
  </w:abstractNum>
  <w:abstractNum w:abstractNumId="51">
    <w:nsid w:val="15014ACB"/>
    <w:multiLevelType w:val="hybridMultilevel"/>
    <w:lvl w:ilvl="0">
      <w:lvlJc w:val="left"/>
      <w:lvlText w:val="(%1)"/>
      <w:numFmt w:val="lowerLetter"/>
      <w:start w:val="1"/>
    </w:lvl>
  </w:abstractNum>
  <w:abstractNum w:abstractNumId="52">
    <w:nsid w:val="5F5E7FD0"/>
    <w:multiLevelType w:val="hybridMultilevel"/>
    <w:lvl w:ilvl="0">
      <w:lvlJc w:val="left"/>
      <w:lvlText w:val="(%1)"/>
      <w:numFmt w:val="lowerLetter"/>
      <w:start w:val="2"/>
    </w:lvl>
  </w:abstractNum>
  <w:abstractNum w:abstractNumId="53">
    <w:nsid w:val="98A3148"/>
    <w:multiLevelType w:val="hybridMultilevel"/>
    <w:lvl w:ilvl="0">
      <w:lvlJc w:val="left"/>
      <w:lvlText w:val="(%1)"/>
      <w:numFmt w:val="lowerLetter"/>
      <w:start w:val="4"/>
    </w:lvl>
  </w:abstractNum>
  <w:abstractNum w:abstractNumId="54">
    <w:nsid w:val="799D0247"/>
    <w:multiLevelType w:val="hybridMultilevel"/>
    <w:lvl w:ilvl="0">
      <w:lvlJc w:val="left"/>
      <w:lvlText w:val="%1"/>
      <w:numFmt w:val="decimal"/>
      <w:start w:val="1"/>
    </w:lvl>
    <w:lvl w:ilvl="1">
      <w:lvlJc w:val="left"/>
      <w:lvlText w:val="(%2)"/>
      <w:numFmt w:val="lowerLetter"/>
      <w:start w:val="1"/>
    </w:lvl>
  </w:abstractNum>
  <w:abstractNum w:abstractNumId="55">
    <w:nsid w:val="6B94764"/>
    <w:multiLevelType w:val="hybridMultilevel"/>
    <w:lvl w:ilvl="0">
      <w:lvlJc w:val="left"/>
      <w:lvlText w:val="(%1)"/>
      <w:numFmt w:val="decimal"/>
      <w:start w:val="30"/>
    </w:lvl>
    <w:lvl w:ilvl="1">
      <w:lvlJc w:val="left"/>
      <w:lvlText w:val="%2"/>
      <w:numFmt w:val="lowerLetter"/>
      <w:start w:val="1"/>
    </w:lvl>
  </w:abstractNum>
  <w:abstractNum w:abstractNumId="56">
    <w:nsid w:val="42C296BD"/>
    <w:multiLevelType w:val="hybridMultilevel"/>
    <w:lvl w:ilvl="0">
      <w:lvlJc w:val="left"/>
      <w:lvlText w:val="(%1)"/>
      <w:numFmt w:val="lowerLetter"/>
      <w:start w:val="3"/>
    </w:lvl>
  </w:abstractNum>
  <w:abstractNum w:abstractNumId="57">
    <w:nsid w:val="168E121F"/>
    <w:multiLevelType w:val="hybridMultilevel"/>
    <w:lvl w:ilvl="0">
      <w:lvlJc w:val="left"/>
      <w:lvlText w:val="(%1)"/>
      <w:numFmt w:val="lowerLetter"/>
      <w:start w:val="1"/>
    </w:lvl>
  </w:abstractNum>
  <w:abstractNum w:abstractNumId="58">
    <w:nsid w:val="1EBA5D23"/>
    <w:multiLevelType w:val="hybridMultilevel"/>
    <w:lvl w:ilvl="0">
      <w:lvlJc w:val="left"/>
      <w:lvlText w:val="(%1)"/>
      <w:numFmt w:val="lowerLetter"/>
      <w:start w:val="1"/>
    </w:lvl>
  </w:abstractNum>
  <w:abstractNum w:abstractNumId="59">
    <w:nsid w:val="661E3F1E"/>
    <w:multiLevelType w:val="hybridMultilevel"/>
    <w:lvl w:ilvl="0">
      <w:lvlJc w:val="left"/>
      <w:lvlText w:val="(%1)"/>
      <w:numFmt w:val="lowerLetter"/>
      <w:start w:val="3"/>
    </w:lvl>
  </w:abstractNum>
  <w:abstractNum w:abstractNumId="60">
    <w:nsid w:val="5DC79EA8"/>
    <w:multiLevelType w:val="hybridMultilevel"/>
    <w:lvl w:ilvl="0">
      <w:lvlJc w:val="left"/>
      <w:lvlText w:val="(%1)"/>
      <w:numFmt w:val="lowerLetter"/>
      <w:start w:val="1"/>
    </w:lvl>
  </w:abstractNum>
  <w:abstractNum w:abstractNumId="61">
    <w:nsid w:val="540A471C"/>
    <w:multiLevelType w:val="hybridMultilevel"/>
    <w:lvl w:ilvl="0">
      <w:lvlJc w:val="left"/>
      <w:lvlText w:val="(%1)"/>
      <w:numFmt w:val="lowerLetter"/>
      <w:start w:val="1"/>
    </w:lvl>
    <w:lvl w:ilvl="1">
      <w:lvlJc w:val="left"/>
      <w:lvlText w:val="(%2)"/>
      <w:numFmt w:val="lowerLetter"/>
      <w:start w:val="9"/>
    </w:lvl>
  </w:abstractNum>
  <w:abstractNum w:abstractNumId="62">
    <w:nsid w:val="7BD3EE7B"/>
    <w:multiLevelType w:val="hybridMultilevel"/>
    <w:lvl w:ilvl="0">
      <w:lvlJc w:val="left"/>
      <w:lvlText w:val="(%1)"/>
      <w:numFmt w:val="lowerRoman"/>
      <w:start w:val="2"/>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1)"/>
      <w:numFmt w:val="lowerRoman"/>
      <w:start w:val="3"/>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decimal"/>
      <w:start w:val="1"/>
    </w:lvl>
    <w:lvl w:ilvl="1">
      <w:lvlJc w:val="left"/>
      <w:lvlText w:val="(%2)"/>
      <w:numFmt w:val="lowerLetter"/>
      <w:start w:val="2"/>
    </w:lvl>
  </w:abstractNum>
  <w:abstractNum w:abstractNumId="67">
    <w:nsid w:val="42963E5A"/>
    <w:multiLevelType w:val="hybridMultilevel"/>
    <w:lvl w:ilvl="0">
      <w:lvlJc w:val="left"/>
      <w:lvlText w:val="(%1)"/>
      <w:numFmt w:val="decimal"/>
      <w:start w:val="30"/>
    </w:lvl>
    <w:lvl w:ilvl="1">
      <w:lvlJc w:val="left"/>
      <w:lvlText w:val="(%2)"/>
      <w:numFmt w:val="lowerLetter"/>
      <w:start w:val="6"/>
    </w:lvl>
  </w:abstractNum>
  <w:abstractNum w:abstractNumId="68">
    <w:nsid w:val="A0382C5"/>
    <w:multiLevelType w:val="hybridMultilevel"/>
    <w:lvl w:ilvl="0">
      <w:lvlJc w:val="left"/>
      <w:lvlText w:val="%1"/>
      <w:numFmt w:val="lowerRoman"/>
      <w:start w:val="1"/>
    </w:lvl>
    <w:lvl w:ilvl="1">
      <w:lvlJc w:val="left"/>
      <w:lvlText w:val="(%2)"/>
      <w:numFmt w:val="lowerRoman"/>
      <w:start w:val="1"/>
    </w:lvl>
  </w:abstractNum>
  <w:abstractNum w:abstractNumId="69">
    <w:nsid w:val="8F2B15E"/>
    <w:multiLevelType w:val="hybridMultilevel"/>
    <w:lvl w:ilvl="0">
      <w:lvlJc w:val="left"/>
      <w:lvlText w:val="(%1)"/>
      <w:numFmt w:val="lowerRoman"/>
      <w:start w:val="4"/>
    </w:lvl>
    <w:lvl w:ilvl="1">
      <w:lvlJc w:val="left"/>
      <w:lvlText w:val="%2"/>
      <w:numFmt w:val="lowerRoman"/>
      <w:start w:val="1"/>
    </w:lvl>
  </w:abstractNum>
  <w:abstractNum w:abstractNumId="70">
    <w:nsid w:val="1A32234B"/>
    <w:multiLevelType w:val="hybridMultilevel"/>
    <w:lvl w:ilvl="0">
      <w:lvlJc w:val="left"/>
      <w:lvlText w:val="(%1)"/>
      <w:numFmt w:val="lowerLetter"/>
      <w:start w:val="10"/>
    </w:lvl>
  </w:abstractNum>
  <w:abstractNum w:abstractNumId="71">
    <w:nsid w:val="3B0FD379"/>
    <w:multiLevelType w:val="hybridMultilevel"/>
    <w:lvl w:ilvl="0">
      <w:lvlJc w:val="left"/>
      <w:lvlText w:val="(%1)"/>
      <w:numFmt w:val="lowerLetter"/>
      <w:start w:val="13"/>
    </w:lvl>
  </w:abstractNum>
  <w:abstractNum w:abstractNumId="72">
    <w:nsid w:val="68EB2F63"/>
    <w:multiLevelType w:val="hybridMultilevel"/>
    <w:lvl w:ilvl="0">
      <w:lvlJc w:val="left"/>
      <w:lvlText w:val="(%1)"/>
      <w:numFmt w:val="lowerLetter"/>
      <w:start w:val="1"/>
    </w:lvl>
  </w:abstractNum>
  <w:abstractNum w:abstractNumId="73">
    <w:nsid w:val="4962813B"/>
    <w:multiLevelType w:val="hybridMultilevel"/>
    <w:lvl w:ilvl="0">
      <w:lvlJc w:val="left"/>
      <w:lvlText w:val="(%1)"/>
      <w:numFmt w:val="lowerLetter"/>
      <w:start w:val="3"/>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lowerLetter"/>
      <w:start w:val="3"/>
    </w:lvl>
  </w:abstractNum>
  <w:abstractNum w:abstractNumId="76">
    <w:nsid w:val="14330624"/>
    <w:multiLevelType w:val="hybridMultilevel"/>
    <w:lvl w:ilvl="0">
      <w:lvlJc w:val="left"/>
      <w:lvlText w:val="(%1)"/>
      <w:numFmt w:val="lowerLetter"/>
      <w:start w:val="6"/>
    </w:lvl>
  </w:abstractNum>
  <w:abstractNum w:abstractNumId="77">
    <w:nsid w:val="7FFFCA11"/>
    <w:multiLevelType w:val="hybridMultilevel"/>
    <w:lvl w:ilvl="0">
      <w:lvlJc w:val="left"/>
      <w:lvlText w:val="(%1)"/>
      <w:numFmt w:val="lowerLetter"/>
      <w:start w:val="1"/>
    </w:lvl>
  </w:abstractNum>
  <w:abstractNum w:abstractNumId="78">
    <w:nsid w:val="1A27709E"/>
    <w:multiLevelType w:val="hybridMultilevel"/>
    <w:lvl w:ilvl="0">
      <w:lvlJc w:val="left"/>
      <w:lvlText w:val="(%1)"/>
      <w:numFmt w:val="lowerLetter"/>
      <w:start w:val="2"/>
    </w:lvl>
  </w:abstractNum>
  <w:abstractNum w:abstractNumId="79">
    <w:nsid w:val="71EA1109"/>
    <w:multiLevelType w:val="hybridMultilevel"/>
    <w:lvl w:ilvl="0">
      <w:lvlJc w:val="left"/>
      <w:lvlText w:val="(%1)"/>
      <w:numFmt w:val="lowerLetter"/>
      <w:start w:val="1"/>
    </w:lvl>
  </w:abstractNum>
  <w:abstractNum w:abstractNumId="80">
    <w:nsid w:val="100F59DC"/>
    <w:multiLevelType w:val="hybridMultilevel"/>
    <w:lvl w:ilvl="0">
      <w:lvlJc w:val="left"/>
      <w:lvlText w:val="%1"/>
      <w:numFmt w:val="lowerLetter"/>
      <w:start w:val="1"/>
    </w:lvl>
    <w:lvl w:ilvl="1">
      <w:lvlJc w:val="left"/>
      <w:lvlText w:val="(%2)"/>
      <w:numFmt w:val="lowerLetter"/>
      <w:start w:val="2"/>
    </w:lvl>
  </w:abstractNum>
  <w:abstractNum w:abstractNumId="81">
    <w:nsid w:val="7FB7E0AA"/>
    <w:multiLevelType w:val="hybridMultilevel"/>
    <w:lvl w:ilvl="0">
      <w:lvlJc w:val="left"/>
      <w:lvlText w:val="(%1)"/>
      <w:numFmt w:val="lowerLetter"/>
      <w:start w:val="1"/>
    </w:lvl>
    <w:lvl w:ilvl="1">
      <w:lvlJc w:val="left"/>
      <w:lvlText w:val="%2"/>
      <w:numFmt w:val="lowerLetter"/>
      <w:start w:val="1"/>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lowerLetter"/>
      <w:start w:val="1"/>
    </w:lvl>
    <w:lvl w:ilvl="1">
      <w:lvlJc w:val="left"/>
      <w:lvlText w:val="(%2)"/>
      <w:numFmt w:val="lowerLetter"/>
      <w:start w:val="2"/>
    </w:lvl>
  </w:abstractNum>
  <w:abstractNum w:abstractNumId="84">
    <w:nsid w:val="94211F2"/>
    <w:multiLevelType w:val="hybridMultilevel"/>
    <w:lvl w:ilvl="0">
      <w:lvlJc w:val="left"/>
      <w:lvlText w:val="(%1)"/>
      <w:numFmt w:val="lowerLetter"/>
      <w:start w:val="2"/>
    </w:lvl>
    <w:lvl w:ilvl="1">
      <w:lvlJc w:val="left"/>
      <w:lvlText w:val="%2"/>
      <w:numFmt w:val="lowerLetter"/>
      <w:start w:val="1"/>
    </w:lvl>
  </w:abstractNum>
  <w:abstractNum w:abstractNumId="85">
    <w:nsid w:val="885E1B"/>
    <w:multiLevelType w:val="hybridMultilevel"/>
    <w:lvl w:ilvl="0">
      <w:lvlJc w:val="left"/>
      <w:lvlText w:val="1"/>
      <w:numFmt w:val="bullet"/>
      <w:start w:val="1"/>
    </w:lvl>
  </w:abstractNum>
  <w:abstractNum w:abstractNumId="86">
    <w:nsid w:val="76272110"/>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2020-12-14T05:09:31Z</dcterms:created>
  <dcterms:modified xsi:type="dcterms:W3CDTF">2020-12-14T05:09:31Z</dcterms:modified>
</cp:coreProperties>
</file>