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10-K/A</w:t>
      </w:r>
    </w:p>
    <w:p>
      <w:pPr>
        <w:sectPr>
          <w:pgSz w:w="11900" w:h="16838" w:orient="portrait"/>
          <w:cols w:equalWidth="0" w:num="1">
            <w:col w:w="11240"/>
          </w:cols>
          <w:pgMar w:left="320" w:top="229" w:right="339" w:bottom="1440" w:gutter="0" w:footer="0" w:header="0"/>
        </w:sectPr>
      </w:pPr>
    </w:p>
    <w:p>
      <w:pPr>
        <w:spacing w:after="0" w:line="280"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jc w:val="center"/>
        <w:ind w:left="380"/>
        <w:spacing w:after="0" w:line="188" w:lineRule="exact"/>
        <w:rPr>
          <w:sz w:val="20"/>
          <w:szCs w:val="20"/>
          <w:color w:val="auto"/>
        </w:rPr>
      </w:pPr>
      <w:r>
        <w:rPr>
          <w:rFonts w:ascii="Arial Unicode MS" w:cs="Arial Unicode MS" w:eastAsia="Arial Unicode MS" w:hAnsi="Arial Unicode MS"/>
          <w:sz w:val="14"/>
          <w:szCs w:val="14"/>
          <w:color w:val="auto"/>
          <w:highlight w:val="black"/>
        </w:rPr>
        <w:t>☒</w:t>
      </w:r>
    </w:p>
    <w:p>
      <w:pPr>
        <w:spacing w:after="0" w:line="200" w:lineRule="exact"/>
        <w:rPr>
          <w:sz w:val="24"/>
          <w:szCs w:val="24"/>
          <w:color w:val="auto"/>
        </w:rPr>
      </w:pPr>
    </w:p>
    <w:p>
      <w:pPr>
        <w:spacing w:after="0" w:line="373" w:lineRule="exact"/>
        <w:rPr>
          <w:sz w:val="24"/>
          <w:szCs w:val="24"/>
          <w:color w:val="auto"/>
        </w:rPr>
      </w:pPr>
    </w:p>
    <w:p>
      <w:pPr>
        <w:jc w:val="center"/>
        <w:ind w:left="380"/>
        <w:spacing w:after="0" w:line="188" w:lineRule="exact"/>
        <w:rPr>
          <w:sz w:val="20"/>
          <w:szCs w:val="20"/>
          <w:color w:val="auto"/>
        </w:rPr>
      </w:pPr>
      <w:r>
        <w:rPr>
          <w:rFonts w:ascii="Arial Unicode MS" w:cs="Arial Unicode MS" w:eastAsia="Arial Unicode MS" w:hAnsi="Arial Unicode MS"/>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5"/>
          <w:szCs w:val="15"/>
          <w:b w:val="1"/>
          <w:bCs w:val="1"/>
          <w:color w:val="auto"/>
        </w:rPr>
        <w:t>(Amendment No. 1)</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50"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13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48" w:lineRule="exact"/>
        <w:rPr>
          <w:sz w:val="24"/>
          <w:szCs w:val="24"/>
          <w:color w:val="auto"/>
        </w:rPr>
      </w:pPr>
    </w:p>
    <w:p>
      <w:pPr>
        <w:ind w:left="2840"/>
        <w:spacing w:after="0"/>
        <w:tabs>
          <w:tab w:leader="none" w:pos="51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6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Commission File No. 000-30319</w:t>
      </w:r>
    </w:p>
    <w:p>
      <w:pPr>
        <w:spacing w:after="0" w:line="9"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INNOVIVA, INC.</w:t>
      </w:r>
    </w:p>
    <w:p>
      <w:pPr>
        <w:spacing w:after="0" w:line="1" w:lineRule="exact"/>
        <w:rPr>
          <w:sz w:val="24"/>
          <w:szCs w:val="24"/>
          <w:color w:val="auto"/>
        </w:rPr>
      </w:pPr>
    </w:p>
    <w:p>
      <w:pPr>
        <w:sectPr>
          <w:pgSz w:w="11900" w:h="16838" w:orient="portrait"/>
          <w:cols w:equalWidth="0" w:num="2">
            <w:col w:w="1140" w:space="400"/>
            <w:col w:w="97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4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2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94-3265960</w:t>
            </w:r>
          </w:p>
        </w:tc>
        <w:tc>
          <w:tcPr>
            <w:tcW w:w="0" w:type="dxa"/>
            <w:vAlign w:val="bottom"/>
          </w:tcPr>
          <w:p>
            <w:pPr>
              <w:spacing w:after="0"/>
              <w:rPr>
                <w:sz w:val="1"/>
                <w:szCs w:val="1"/>
                <w:color w:val="auto"/>
              </w:rPr>
            </w:pPr>
          </w:p>
        </w:tc>
      </w:tr>
      <w:tr>
        <w:trPr>
          <w:trHeight w:val="148"/>
        </w:trPr>
        <w:tc>
          <w:tcPr>
            <w:tcW w:w="4040" w:type="dxa"/>
            <w:vAlign w:val="bottom"/>
            <w:gridSpan w:val="2"/>
          </w:tcPr>
          <w:p>
            <w:pPr>
              <w:jc w:val="center"/>
              <w:ind w:left="15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jc w:val="center"/>
              <w:ind w:right="19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15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20" w:type="dxa"/>
            <w:vAlign w:val="bottom"/>
          </w:tcPr>
          <w:p>
            <w:pPr>
              <w:jc w:val="center"/>
              <w:ind w:right="19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1350 Old Bayshore Highway, Suite 400</w:t>
            </w:r>
          </w:p>
        </w:tc>
        <w:tc>
          <w:tcPr>
            <w:tcW w:w="2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vMerge w:val="restart"/>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94010</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1488"/>
              <w:spacing w:after="0" w:line="151" w:lineRule="exact"/>
              <w:rPr>
                <w:sz w:val="20"/>
                <w:szCs w:val="20"/>
                <w:color w:val="auto"/>
              </w:rPr>
            </w:pPr>
            <w:r>
              <w:rPr>
                <w:rFonts w:ascii="Times New Roman" w:cs="Times New Roman" w:eastAsia="Times New Roman" w:hAnsi="Times New Roman"/>
                <w:sz w:val="14"/>
                <w:szCs w:val="14"/>
                <w:b w:val="1"/>
                <w:bCs w:val="1"/>
                <w:color w:val="auto"/>
              </w:rPr>
              <w:t>Burlingame, CA</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15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20" w:type="dxa"/>
            <w:vAlign w:val="bottom"/>
          </w:tcPr>
          <w:p>
            <w:pPr>
              <w:jc w:val="center"/>
              <w:ind w:right="19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65"/>
        </w:trPr>
        <w:tc>
          <w:tcPr>
            <w:tcW w:w="7620" w:type="dxa"/>
            <w:vAlign w:val="bottom"/>
            <w:gridSpan w:val="5"/>
          </w:tcPr>
          <w:p>
            <w:pPr>
              <w:jc w:val="center"/>
              <w:ind w:left="35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(650) 238-9600</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20" w:type="dxa"/>
            <w:vAlign w:val="bottom"/>
            <w:vMerge w:val="restart"/>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5"/>
        </w:trPr>
        <w:tc>
          <w:tcPr>
            <w:tcW w:w="38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8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INVA</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20" w:type="dxa"/>
            <w:vAlign w:val="bottom"/>
          </w:tcPr>
          <w:p>
            <w:pPr>
              <w:jc w:val="center"/>
              <w:ind w:right="48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55"/>
        </w:trPr>
        <w:tc>
          <w:tcPr>
            <w:tcW w:w="76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gridSpan w:val="5"/>
          </w:tcPr>
          <w:p>
            <w:pPr>
              <w:ind w:left="380"/>
              <w:spacing w:after="0" w:line="188" w:lineRule="exact"/>
              <w:rPr>
                <w:sz w:val="20"/>
                <w:szCs w:val="20"/>
                <w:color w:val="auto"/>
              </w:rPr>
            </w:pPr>
            <w:r>
              <w:rPr>
                <w:rFonts w:ascii="Times New Roman" w:cs="Times New Roman" w:eastAsia="Times New Roman" w:hAnsi="Times New Roman"/>
                <w:sz w:val="14"/>
                <w:szCs w:val="14"/>
                <w:color w:val="auto"/>
              </w:rPr>
              <w:t>Indicate by check mark if the registrant is a well</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known seasoned issuer, as defined in Rule 405 of the Securities Act. Yes </w:t>
            </w:r>
            <w:r>
              <w:rPr>
                <w:rFonts w:ascii="Arial Unicode MS" w:cs="Arial Unicode MS" w:eastAsia="Arial Unicode MS" w:hAnsi="Arial Unicode MS"/>
                <w:sz w:val="14"/>
                <w:szCs w:val="14"/>
                <w:color w:val="auto"/>
              </w:rPr>
              <w:t>☒</w:t>
            </w:r>
          </w:p>
        </w:tc>
        <w:tc>
          <w:tcPr>
            <w:tcW w:w="3620" w:type="dxa"/>
            <w:vAlign w:val="bottom"/>
          </w:tcPr>
          <w:p>
            <w:pPr>
              <w:ind w:left="4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380"/>
        <w:spacing w:after="0" w:line="188" w:lineRule="exact"/>
        <w:tabs>
          <w:tab w:leader="none" w:pos="77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92" w:lineRule="exact"/>
        <w:rPr>
          <w:sz w:val="24"/>
          <w:szCs w:val="24"/>
          <w:color w:val="auto"/>
        </w:rPr>
      </w:pPr>
    </w:p>
    <w:p>
      <w:pPr>
        <w:ind w:right="4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18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200"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registrant is a large accelerated filer, an accelerated filer or a non-accelerated filer. See definition of “accelerated filer and large accelerated filer” in Rule 12b-2 of the Exchange Act (Check One):</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50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tc>
        <w:tc>
          <w:tcPr>
            <w:tcW w:w="3020" w:type="dxa"/>
            <w:vAlign w:val="bottom"/>
          </w:tcPr>
          <w:p>
            <w:pPr>
              <w:ind w:left="1020"/>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tc>
        <w:tc>
          <w:tcPr>
            <w:tcW w:w="3080" w:type="dxa"/>
            <w:vAlign w:val="bottom"/>
          </w:tcPr>
          <w:p>
            <w:pPr>
              <w:ind w:left="860"/>
              <w:spacing w:after="0" w:line="188" w:lineRule="exact"/>
              <w:rPr>
                <w:sz w:val="20"/>
                <w:szCs w:val="20"/>
                <w:color w:val="auto"/>
              </w:rPr>
            </w:pPr>
            <w:r>
              <w:rPr>
                <w:rFonts w:ascii="Times New Roman" w:cs="Times New Roman" w:eastAsia="Times New Roman" w:hAnsi="Times New Roman"/>
                <w:sz w:val="14"/>
                <w:szCs w:val="14"/>
                <w:color w:val="auto"/>
              </w:rPr>
              <w:t>Non</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tc>
        <w:tc>
          <w:tcPr>
            <w:tcW w:w="2600" w:type="dxa"/>
            <w:vAlign w:val="bottom"/>
          </w:tcPr>
          <w:p>
            <w:pPr>
              <w:ind w:left="860"/>
              <w:spacing w:after="0" w:line="18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tc>
      </w:tr>
      <w:tr>
        <w:trPr>
          <w:trHeight w:val="226"/>
        </w:trPr>
        <w:tc>
          <w:tcPr>
            <w:tcW w:w="2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0" w:type="dxa"/>
            <w:vAlign w:val="bottom"/>
          </w:tcPr>
          <w:p>
            <w:pPr>
              <w:ind w:left="82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tc>
      </w:tr>
    </w:tbl>
    <w:p>
      <w:pPr>
        <w:spacing w:after="0" w:line="68" w:lineRule="exact"/>
        <w:rPr>
          <w:sz w:val="24"/>
          <w:szCs w:val="24"/>
          <w:color w:val="auto"/>
        </w:rPr>
      </w:pPr>
    </w:p>
    <w:p>
      <w:pPr>
        <w:ind w:right="20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14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22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500" w:firstLine="374"/>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left="380"/>
        <w:spacing w:after="0" w:line="188" w:lineRule="exact"/>
        <w:tabs>
          <w:tab w:leader="none" w:pos="7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92" w:lineRule="exact"/>
        <w:rPr>
          <w:sz w:val="24"/>
          <w:szCs w:val="24"/>
          <w:color w:val="auto"/>
        </w:rPr>
      </w:pPr>
    </w:p>
    <w:p>
      <w:pPr>
        <w:ind w:right="340" w:firstLine="374"/>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upon the closing price of the registrant’s Common Stock on The Nasdaq Global Select Market on June 30, 2022 was $923,930,805. This calculation does not reflect a determination that persons are affiliates for any other purpose.</w:t>
      </w:r>
    </w:p>
    <w:p>
      <w:pPr>
        <w:spacing w:after="0" w:line="4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14, 2023, there were 68,126,089 shares of the registrant’s Common Stock outstanding.</w:t>
      </w:r>
    </w:p>
    <w:p>
      <w:pPr>
        <w:spacing w:after="0" w:line="8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ind w:right="60" w:firstLine="374"/>
        <w:spacing w:after="0" w:line="241"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issued in conjunction with the registrant’s 2023 Annual Meeting of Stockholders, which is expected to be filed not later than 120 days after the registrant’s fiscal year ended December 31, 2022, are incorporated by reference into Part III of this Annual Report. Except as expressly incorporated by reference, the registrant’s Proxy Statement shall not be deemed to be a part of this Annual Report on 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This Amendment No. 1 on Form 10-K/A (the “Amendment”) amends the Annual Report on Form 10-K of Innoviva, Inc. (the “Company”) for the year ended December 31, 2022, originally filed on February 28, 2023 (the “Original Filing”), is being filed pursuant to and in compliance with the time requirements of Rule 3-09 of Regulation S-X, to amend Item 15, Exhibits and Financial Statement Schedules, to include the Audited Consolidated Financial Statements of Armata Pharmaceuticals, Inc. (“Armata”) at December 31, 2022 and 2021 and for the years then ended and the Consent of Ernst &amp; Young LLP Independent Registered Public Accounting Firm of Armata as Exhibit 99.1 and Exhibit 23.3, respectively. These exhibits were not available at the time of our Original Filing. Additional information on the Audited Consolidated Financial Statements of Armata for the year ended December 31, 2020 can be found in the Company’s Amendment No. 1 on Form 10-K/A for the year ended December 31, 2021, filed on March 17, 2022, and is incorporated herein by reference and included as Exhibit 99.2.</w:t>
      </w:r>
    </w:p>
    <w:p>
      <w:pPr>
        <w:spacing w:after="0" w:line="16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accordance with applicable Securities and Exchange Commission (“SEC”) rules and as required by Rule 12b-15 under the Securities Exchange Act of 1934, as amended, this Amendment includes new certifications from the Company's Principal Executive Officer and Principal Financial Officer dated as of the date of filing of this Amendment.</w:t>
      </w:r>
    </w:p>
    <w:p>
      <w:pPr>
        <w:spacing w:after="0" w:line="135" w:lineRule="exact"/>
        <w:rPr>
          <w:sz w:val="20"/>
          <w:szCs w:val="20"/>
          <w:color w:val="auto"/>
        </w:rPr>
      </w:pPr>
    </w:p>
    <w:p>
      <w:pPr>
        <w:ind w:right="60" w:firstLine="374"/>
        <w:spacing w:after="0" w:line="312" w:lineRule="auto"/>
        <w:rPr>
          <w:sz w:val="20"/>
          <w:szCs w:val="20"/>
          <w:color w:val="auto"/>
        </w:rPr>
      </w:pPr>
      <w:r>
        <w:rPr>
          <w:rFonts w:ascii="Times New Roman" w:cs="Times New Roman" w:eastAsia="Times New Roman" w:hAnsi="Times New Roman"/>
          <w:sz w:val="17"/>
          <w:szCs w:val="17"/>
          <w:color w:val="auto"/>
        </w:rPr>
        <w:t>This Amendment consists solely of the preceding cover page, this explanatory note, Part IV., Item 15., “Exhibits and Financial Statement Schedules,” in its entirety, the Exhibits, the signature page and the new certifications of the Company’s Principal Executive Officer and Principal Financial Officer.</w:t>
      </w:r>
    </w:p>
    <w:p>
      <w:pPr>
        <w:spacing w:after="0" w:line="99" w:lineRule="exact"/>
        <w:rPr>
          <w:sz w:val="20"/>
          <w:szCs w:val="20"/>
          <w:color w:val="auto"/>
        </w:rPr>
      </w:pPr>
    </w:p>
    <w:p>
      <w:pPr>
        <w:jc w:val="both"/>
        <w:ind w:right="40" w:firstLine="374"/>
        <w:spacing w:after="0" w:line="261" w:lineRule="auto"/>
        <w:rPr>
          <w:sz w:val="20"/>
          <w:szCs w:val="20"/>
          <w:color w:val="auto"/>
        </w:rPr>
      </w:pPr>
      <w:r>
        <w:rPr>
          <w:rFonts w:ascii="Times New Roman" w:cs="Times New Roman" w:eastAsia="Times New Roman" w:hAnsi="Times New Roman"/>
          <w:sz w:val="18"/>
          <w:szCs w:val="18"/>
          <w:color w:val="auto"/>
        </w:rPr>
        <w:t>This Amendment does not reflect events occurring after the date of the Original Filing and does not amend or update in any way the disclosures made in the Original Filing, except as described above. In particular, the information included in this Amendment under Part II, Item 8 is identical in all respects to the information included under such caption in the Original Filing. This Amendment should be read in conjunction with the Original Filing and with the Company's subsequent filings with the SEC.</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p>
      <w:pPr>
        <w:spacing w:after="0" w:line="227"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1.</w:t>
        <w:tab/>
        <w:t>Financial Statements:</w:t>
      </w:r>
    </w:p>
    <w:p>
      <w:pPr>
        <w:spacing w:after="0" w:line="18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supplementary data and reports of independent public accountants appear in Part II, Item 8 of the Original Filing and are incorporated herein by reference.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Income for each of the three years in the period ended December 31, 2022</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2022</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Stockholders’ Equity for each of the three years in the period ended December 31, 2022</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2022</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ind w:left="520" w:right="2220"/>
        <w:spacing w:after="0" w:line="260" w:lineRule="auto"/>
        <w:rPr>
          <w:sz w:val="20"/>
          <w:szCs w:val="20"/>
          <w:color w:val="auto"/>
        </w:rPr>
      </w:pPr>
      <w:r>
        <w:rPr>
          <w:rFonts w:ascii="Times New Roman" w:cs="Times New Roman" w:eastAsia="Times New Roman" w:hAnsi="Times New Roman"/>
          <w:sz w:val="18"/>
          <w:szCs w:val="18"/>
          <w:color w:val="auto"/>
        </w:rPr>
        <w:t>Reports of Independent Registered Public Accounting Firm (PCAOB ID 34), Deloitte &amp; Touche LLP, San Jose, CA Report of Independent Registered Public Accounting Firm (PCAOB ID 248)</w:t>
      </w:r>
    </w:p>
    <w:p>
      <w:pPr>
        <w:spacing w:after="0" w:line="181"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98"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9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  Exhibits required by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that follows the signature page of this report.</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gridSpan w:val="3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40" w:type="dxa"/>
            <w:vAlign w:val="bottom"/>
            <w:tcBorders>
              <w:bottom w:val="single" w:sz="8" w:color="0000FF"/>
            </w:tcBorders>
            <w:gridSpan w:val="40"/>
          </w:tcPr>
          <w:p>
            <w:pPr>
              <w:spacing w:after="0" w:line="188"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Agreement and Plan of Merger, dated as of May 23, 2022, by and among Innoviva,</w:t>
              </w:r>
            </w:hyperlink>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Inc., Innoviva Merger Sub, Inc. and Entasis Therapeutics</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Agreement and Plan of Merger, dated as of July 10, 2022, by and among Innoviva,</w:t>
              </w:r>
            </w:hyperlink>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Inc., Innoviva Acquisition Sub, Inc. and La Jolla Pharmaceutical Company</w:t>
              </w:r>
            </w:hyperlink>
          </w:p>
        </w:tc>
        <w:tc>
          <w:tcPr>
            <w:tcW w:w="7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4"/>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4"/>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Certificate of Amendment of Restated Certificate of Incorporation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Certificate of Ownership and Merger Merging LABA Merger Sub, Inc. with and into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Theravance, Inc., as filed with the Secretary of State of the State of Delaware,</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9">
              <w:r>
                <w:rPr>
                  <w:rFonts w:ascii="Times New Roman" w:cs="Times New Roman" w:eastAsia="Times New Roman" w:hAnsi="Times New Roman"/>
                  <w:sz w:val="18"/>
                  <w:szCs w:val="18"/>
                  <w:color w:val="0000FF"/>
                  <w:w w:val="98"/>
                </w:rPr>
                <w:t>effective on January 7, 2016</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4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4"/>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Amended and Restated Bylaws, amended and restated as of February 8, 2017</w:t>
              </w:r>
            </w:hyperlink>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Specimen certificate representing the common stock of the registrant</w:t>
              </w:r>
            </w:hyperlink>
          </w:p>
        </w:tc>
        <w:tc>
          <w:tcPr>
            <w:tcW w:w="580" w:type="dxa"/>
            <w:vAlign w:val="bottom"/>
            <w:tcBorders>
              <w:top w:val="single" w:sz="8" w:color="0000FF"/>
            </w:tcBorders>
            <w:gridSpan w:val="3"/>
          </w:tcPr>
          <w:p>
            <w:pPr>
              <w:spacing w:after="0"/>
              <w:rPr>
                <w:sz w:val="19"/>
                <w:szCs w:val="19"/>
                <w:color w:val="auto"/>
              </w:rPr>
            </w:pPr>
          </w:p>
        </w:tc>
        <w:tc>
          <w:tcPr>
            <w:tcW w:w="60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Indenture, dated as of January 24, 2013 by and between Theravance, Inc. and The</w:t>
              </w:r>
            </w:hyperlink>
          </w:p>
        </w:tc>
        <w:tc>
          <w:tcPr>
            <w:tcW w:w="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8"/>
              </w:rPr>
            </w:pPr>
            <w:hyperlink r:id="rId22">
              <w:r>
                <w:rPr>
                  <w:rFonts w:ascii="Times New Roman" w:cs="Times New Roman" w:eastAsia="Times New Roman" w:hAnsi="Times New Roman"/>
                  <w:sz w:val="18"/>
                  <w:szCs w:val="18"/>
                  <w:color w:val="0000FF"/>
                  <w:w w:val="98"/>
                </w:rPr>
                <w:t>Bank of New York Mellon Trust Company, N.A., as trustee</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4"/>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2.125% Convertible Subordinated Note Due 2023 (included in Exhibit 4.4</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tcBorders>
              <w:top w:val="single" w:sz="8" w:color="0000FF"/>
              <w:bottom w:val="single" w:sz="8" w:color="0000FF"/>
            </w:tcBorders>
            <w:gridSpan w:val="34"/>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Indenture (including form of Note) with respect to Innoviva’s 2.50% Convertible</w:t>
              </w:r>
            </w:hyperlink>
          </w:p>
        </w:tc>
        <w:tc>
          <w:tcPr>
            <w:tcW w:w="100" w:type="dxa"/>
            <w:vAlign w:val="bottom"/>
            <w:tcBorders>
              <w:top w:val="single" w:sz="8" w:color="0000FF"/>
            </w:tcBorders>
            <w:gridSpan w:val="3"/>
          </w:tcPr>
          <w:p>
            <w:pPr>
              <w:spacing w:after="0"/>
              <w:rPr>
                <w:sz w:val="19"/>
                <w:szCs w:val="19"/>
                <w:color w:val="auto"/>
              </w:rPr>
            </w:pPr>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Senior Notes due 2025, dated as of August 7, 2017, between Innoviva and The Bank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of New York Mellon Trust Company, N.A., as trustee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Description of Registrant’s Securities Registered Pursuant to Section 12 of the</w:t>
              </w:r>
            </w:hyperlink>
          </w:p>
        </w:tc>
        <w:tc>
          <w:tcPr>
            <w:tcW w:w="4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Securities Exchange Act of 1934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Indenture (including form of Note) with respect to Innoviva's 2.125% Convertible</w:t>
              </w:r>
            </w:hyperlink>
          </w:p>
        </w:tc>
        <w:tc>
          <w:tcPr>
            <w:tcW w:w="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Senior Notes due 2028, dated as of March 7, 2022, between Innoviva, Inc. and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8"/>
              </w:rPr>
            </w:pPr>
            <w:hyperlink r:id="rId25">
              <w:r>
                <w:rPr>
                  <w:rFonts w:ascii="Times New Roman" w:cs="Times New Roman" w:eastAsia="Times New Roman" w:hAnsi="Times New Roman"/>
                  <w:sz w:val="18"/>
                  <w:szCs w:val="18"/>
                  <w:color w:val="0000FF"/>
                  <w:w w:val="98"/>
                </w:rPr>
                <w:t>Bank of New York Mellon Trust Company, N.A., as trustee</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Employee Stock Purchase Plan, as amended April 27, 2010</w:t>
              </w:r>
            </w:hyperlink>
          </w:p>
        </w:tc>
        <w:tc>
          <w:tcPr>
            <w:tcW w:w="186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Collaboration Agreement between the registrant and Glaxo Group Limited, dated as</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of November 14,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Amended and Restated Investors’ Rights Agreement by and among the registrant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the parties listed therein, dated as of May 11, 2004</w:t>
              </w:r>
            </w:hyperlink>
          </w:p>
        </w:tc>
        <w:tc>
          <w:tcPr>
            <w:tcW w:w="24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Strategic Alliance Agreement between the registrant and Glaxo Group Limited,</w:t>
              </w:r>
            </w:hyperlink>
          </w:p>
        </w:tc>
        <w:tc>
          <w:tcPr>
            <w:tcW w:w="4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dated as of March 30, 2004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Description of Cash Bonus Program, as amended</w:t>
              </w:r>
            </w:hyperlink>
          </w:p>
        </w:tc>
        <w:tc>
          <w:tcPr>
            <w:tcW w:w="20" w:type="dxa"/>
            <w:vAlign w:val="bottom"/>
            <w:tcBorders>
              <w:bottom w:val="single" w:sz="8" w:color="0000EE"/>
            </w:tcBorders>
          </w:tcPr>
          <w:p>
            <w:pPr>
              <w:spacing w:after="0"/>
              <w:rPr>
                <w:sz w:val="19"/>
                <w:szCs w:val="19"/>
                <w:color w:val="auto"/>
              </w:rPr>
            </w:pPr>
          </w:p>
        </w:tc>
        <w:tc>
          <w:tcPr>
            <w:tcW w:w="2600" w:type="dxa"/>
            <w:vAlign w:val="bottom"/>
            <w:gridSpan w:val="3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4"/>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Amendment to Change in Control Severance Plan effective December 16, 2009</w:t>
              </w:r>
            </w:hyperlink>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top w:val="single" w:sz="8" w:color="0000FF"/>
              <w:bottom w:val="single" w:sz="8" w:color="0000FF"/>
            </w:tcBorders>
            <w:gridSpan w:val="24"/>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2009 Change in Control Severance Plan adopted December 16, 2009</w:t>
              </w:r>
            </w:hyperlink>
          </w:p>
        </w:tc>
        <w:tc>
          <w:tcPr>
            <w:tcW w:w="20" w:type="dxa"/>
            <w:vAlign w:val="bottom"/>
            <w:tcBorders>
              <w:top w:val="single" w:sz="8" w:color="0000FF"/>
              <w:bottom w:val="single" w:sz="8" w:color="0000EE"/>
            </w:tcBorders>
          </w:tcPr>
          <w:p>
            <w:pPr>
              <w:spacing w:after="0"/>
              <w:rPr>
                <w:sz w:val="19"/>
                <w:szCs w:val="19"/>
                <w:color w:val="auto"/>
              </w:rPr>
            </w:pPr>
          </w:p>
        </w:tc>
        <w:tc>
          <w:tcPr>
            <w:tcW w:w="740" w:type="dxa"/>
            <w:vAlign w:val="bottom"/>
            <w:tcBorders>
              <w:top w:val="single" w:sz="8" w:color="0000FF"/>
            </w:tcBorders>
            <w:gridSpan w:val="6"/>
          </w:tcPr>
          <w:p>
            <w:pPr>
              <w:spacing w:after="0"/>
              <w:rPr>
                <w:sz w:val="19"/>
                <w:szCs w:val="19"/>
                <w:color w:val="auto"/>
              </w:rPr>
            </w:pPr>
          </w:p>
        </w:tc>
        <w:tc>
          <w:tcPr>
            <w:tcW w:w="4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Second Amendment to Amended and Restated Governance Agreement among the</w:t>
              </w:r>
            </w:hyperlink>
          </w:p>
        </w:tc>
        <w:tc>
          <w:tcPr>
            <w:tcW w:w="2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registrant, Glaxo Group Limited, GlaxoSmithKline plc and GlaxoSmithKline LLC,</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dated as of November 29, 2010</w:t>
              </w:r>
            </w:hyperlink>
          </w:p>
        </w:tc>
        <w:tc>
          <w:tcPr>
            <w:tcW w:w="20" w:type="dxa"/>
            <w:vAlign w:val="bottom"/>
            <w:tcBorders>
              <w:bottom w:val="single" w:sz="8" w:color="0000EE"/>
            </w:tcBorders>
          </w:tcPr>
          <w:p>
            <w:pPr>
              <w:spacing w:after="0"/>
              <w:rPr>
                <w:sz w:val="17"/>
                <w:szCs w:val="17"/>
                <w:color w:val="auto"/>
              </w:rPr>
            </w:pPr>
          </w:p>
        </w:tc>
        <w:tc>
          <w:tcPr>
            <w:tcW w:w="388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Amendment to Strategic Alliance Agreement, dated October 3, 2011</w:t>
              </w:r>
            </w:hyperlink>
          </w:p>
        </w:tc>
        <w:tc>
          <w:tcPr>
            <w:tcW w:w="20" w:type="dxa"/>
            <w:vAlign w:val="bottom"/>
            <w:tcBorders>
              <w:bottom w:val="single" w:sz="8" w:color="0000EE"/>
            </w:tcBorders>
          </w:tcPr>
          <w:p>
            <w:pPr>
              <w:spacing w:after="0"/>
              <w:rPr>
                <w:sz w:val="19"/>
                <w:szCs w:val="19"/>
                <w:color w:val="auto"/>
              </w:rPr>
            </w:pPr>
          </w:p>
        </w:tc>
        <w:tc>
          <w:tcPr>
            <w:tcW w:w="120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2012 Equity Incentive Plan, as approved by the board of directors February 8, 2012</w:t>
              </w:r>
            </w:hyperlink>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and approved by stockholders May 16, 2012 and forms of equity award</w:t>
              </w:r>
            </w:hyperlink>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Base Capped Call Transaction, dated January 17, 2013</w:t>
              </w:r>
            </w:hyperlink>
          </w:p>
        </w:tc>
        <w:tc>
          <w:tcPr>
            <w:tcW w:w="20" w:type="dxa"/>
            <w:vAlign w:val="bottom"/>
            <w:tcBorders>
              <w:top w:val="single" w:sz="8" w:color="0000FF"/>
              <w:bottom w:val="single" w:sz="8" w:color="0000EE"/>
            </w:tcBorders>
          </w:tcPr>
          <w:p>
            <w:pPr>
              <w:spacing w:after="0"/>
              <w:rPr>
                <w:sz w:val="19"/>
                <w:szCs w:val="19"/>
                <w:color w:val="auto"/>
              </w:rPr>
            </w:pPr>
          </w:p>
        </w:tc>
        <w:tc>
          <w:tcPr>
            <w:tcW w:w="1180" w:type="dxa"/>
            <w:vAlign w:val="bottom"/>
            <w:tcBorders>
              <w:top w:val="single" w:sz="8" w:color="0000FF"/>
            </w:tcBorders>
            <w:gridSpan w:val="10"/>
          </w:tcPr>
          <w:p>
            <w:pPr>
              <w:spacing w:after="0"/>
              <w:rPr>
                <w:sz w:val="19"/>
                <w:szCs w:val="19"/>
                <w:color w:val="auto"/>
              </w:rPr>
            </w:pPr>
          </w:p>
        </w:tc>
        <w:tc>
          <w:tcPr>
            <w:tcW w:w="10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Additional Capped Call Transaction, dated January 18, 2013</w:t>
              </w:r>
            </w:hyperlink>
          </w:p>
        </w:tc>
        <w:tc>
          <w:tcPr>
            <w:tcW w:w="20" w:type="dxa"/>
            <w:vAlign w:val="bottom"/>
            <w:tcBorders>
              <w:bottom w:val="single" w:sz="8" w:color="0000EE"/>
            </w:tcBorders>
          </w:tcPr>
          <w:p>
            <w:pPr>
              <w:spacing w:after="0"/>
              <w:rPr>
                <w:sz w:val="19"/>
                <w:szCs w:val="19"/>
                <w:color w:val="auto"/>
              </w:rPr>
            </w:pPr>
          </w:p>
        </w:tc>
        <w:tc>
          <w:tcPr>
            <w:tcW w:w="178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Master Agreement by and among Theravance, Inc., Theravance Biopharma, Inc. and</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Glaxo Group Limited, dated March 3, 2014</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Collaboration Agreement Amendment by and between Theravance, Inc. and Glaxo</w:t>
              </w:r>
            </w:hyperlink>
          </w:p>
        </w:tc>
        <w:tc>
          <w:tcPr>
            <w:tcW w:w="1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4"/>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Group Limited, dated March 3, 2014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right w:val="single" w:sz="8" w:color="0000EE"/>
            </w:tcBorders>
            <w:gridSpan w:val="8"/>
            <w:shd w:val="clear" w:color="auto" w:fill="0000FF"/>
          </w:tcPr>
          <w:p>
            <w:pPr>
              <w:spacing w:after="0" w:line="20" w:lineRule="exact"/>
              <w:rPr>
                <w:sz w:val="1"/>
                <w:szCs w:val="1"/>
                <w:color w:val="auto"/>
              </w:rPr>
            </w:pPr>
          </w:p>
        </w:tc>
        <w:tc>
          <w:tcPr>
            <w:tcW w:w="3180" w:type="dxa"/>
            <w:vAlign w:val="bottom"/>
            <w:gridSpan w:val="25"/>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Strategic Alliance Agreement Amendment by and between Theravance, Inc. and</w:t>
              </w:r>
            </w:hyperlink>
          </w:p>
        </w:tc>
        <w:tc>
          <w:tcPr>
            <w:tcW w:w="3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Glaxo Group Limited, dated March 3, 2014</w:t>
              </w:r>
            </w:hyperlink>
          </w:p>
        </w:tc>
        <w:tc>
          <w:tcPr>
            <w:tcW w:w="302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880" w:type="dxa"/>
            <w:vAlign w:val="bottom"/>
          </w:tcPr>
          <w:p>
            <w:pPr>
              <w:spacing w:after="0"/>
              <w:rPr>
                <w:sz w:val="24"/>
                <w:szCs w:val="24"/>
                <w:color w:val="auto"/>
              </w:rPr>
            </w:pPr>
          </w:p>
        </w:tc>
        <w:tc>
          <w:tcPr>
            <w:tcW w:w="5020" w:type="dxa"/>
            <w:vAlign w:val="bottom"/>
            <w:gridSpan w:val="24"/>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7/11/2022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7/26/2004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3/31/2007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1/8/2016</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2/9/2017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1/25/2013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8/7/2017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2/19/2020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6/30/2010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6/30/2014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6/10/2004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10.22</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10.47</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10.48</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11/29/2010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12/31/2011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10.38</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6/30/2012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1/23/2013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1/23/2013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280" w:space="120"/>
            <w:col w:w="3840"/>
          </w:cols>
          <w:pgMar w:left="320" w:top="117" w:right="339" w:bottom="1440" w:gutter="0" w:footer="0" w:header="0"/>
        </w:sectPr>
      </w:pPr>
    </w:p>
    <w:bookmarkStart w:id="4" w:name="page5"/>
    <w:bookmarkEnd w:id="4"/>
    <w:p>
      <w:pPr>
        <w:spacing w:after="0" w:line="29" w:lineRule="exact"/>
        <w:rPr>
          <w:sz w:val="20"/>
          <w:szCs w:val="20"/>
          <w:color w:val="auto"/>
        </w:rPr>
      </w:pPr>
    </w:p>
    <w:p>
      <w:pPr>
        <w:ind w:left="940" w:right="30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42">
        <w:r>
          <w:rPr>
            <w:rFonts w:ascii="Times New Roman" w:cs="Times New Roman" w:eastAsia="Times New Roman" w:hAnsi="Times New Roman"/>
            <w:sz w:val="18"/>
            <w:szCs w:val="18"/>
            <w:u w:val="single" w:color="auto"/>
            <w:color w:val="0000FF"/>
          </w:rPr>
          <w:t>Transition Services Agreement between Theravance and Theravance Biopharma,</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dated June 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736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extLst>
                    </a:blip>
                    <a:srcRect/>
                    <a:stretch>
                      <a:fillRect/>
                    </a:stretch>
                  </pic:blipFill>
                  <pic:spPr bwMode="auto">
                    <a:xfrm>
                      <a:off x="0" y="0"/>
                      <a:ext cx="373634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856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ind w:left="6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45">
        <w:r>
          <w:rPr>
            <w:rFonts w:ascii="Times New Roman" w:cs="Times New Roman" w:eastAsia="Times New Roman" w:hAnsi="Times New Roman"/>
            <w:sz w:val="17"/>
            <w:szCs w:val="17"/>
            <w:u w:val="single" w:color="auto"/>
            <w:color w:val="0000FF"/>
          </w:rPr>
          <w:t>Tax Matters Agreement between Theravance and Theravance Biopharma, dated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3909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-19050</wp:posOffset>
            </wp:positionV>
            <wp:extent cx="342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940" w:right="36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48">
        <w:r>
          <w:rPr>
            <w:rFonts w:ascii="Times New Roman" w:cs="Times New Roman" w:eastAsia="Times New Roman" w:hAnsi="Times New Roman"/>
            <w:sz w:val="18"/>
            <w:szCs w:val="18"/>
            <w:u w:val="single" w:color="auto"/>
            <w:color w:val="0000FF"/>
          </w:rPr>
          <w:t>Employee Matters Agreement between Theravance and Theravance Biopharma,</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dated June 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69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369570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856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ind w:left="940" w:right="400" w:hanging="877"/>
        <w:spacing w:after="0" w:line="281"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51">
        <w:r>
          <w:rPr>
            <w:rFonts w:ascii="Times New Roman" w:cs="Times New Roman" w:eastAsia="Times New Roman" w:hAnsi="Times New Roman"/>
            <w:sz w:val="17"/>
            <w:szCs w:val="17"/>
            <w:u w:val="single" w:color="auto"/>
            <w:color w:val="0000FF"/>
          </w:rPr>
          <w:t>Theravance Respiratory Company, LLC Limited Liability Company Agreement</w:t>
        </w:r>
      </w:hyperlink>
      <w:r>
        <w:rPr>
          <w:rFonts w:ascii="Times New Roman" w:cs="Times New Roman" w:eastAsia="Times New Roman" w:hAnsi="Times New Roman"/>
          <w:sz w:val="17"/>
          <w:szCs w:val="17"/>
          <w:u w:val="single" w:color="auto"/>
          <w:color w:val="0000FF"/>
        </w:rPr>
        <w:t xml:space="preserve"> </w:t>
      </w:r>
      <w:hyperlink r:id="rId51">
        <w:r>
          <w:rPr>
            <w:rFonts w:ascii="Times New Roman" w:cs="Times New Roman" w:eastAsia="Times New Roman" w:hAnsi="Times New Roman"/>
            <w:sz w:val="17"/>
            <w:szCs w:val="17"/>
            <w:u w:val="single" w:color="auto"/>
            <w:color w:val="0000FF"/>
          </w:rPr>
          <w:t>between Theravance and Theravance Biopharma, dated May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-167005</wp:posOffset>
            </wp:positionV>
            <wp:extent cx="3682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extLst>
                    </a:blip>
                    <a:srcRect/>
                    <a:stretch>
                      <a:fillRect/>
                    </a:stretch>
                  </pic:blipFill>
                  <pic:spPr bwMode="auto">
                    <a:xfrm>
                      <a:off x="0" y="0"/>
                      <a:ext cx="368236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-29845</wp:posOffset>
            </wp:positionV>
            <wp:extent cx="3204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ind w:left="94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54">
        <w:r>
          <w:rPr>
            <w:rFonts w:ascii="Times New Roman" w:cs="Times New Roman" w:eastAsia="Times New Roman" w:hAnsi="Times New Roman"/>
            <w:sz w:val="18"/>
            <w:szCs w:val="18"/>
            <w:u w:val="single" w:color="auto"/>
            <w:color w:val="0000FF"/>
          </w:rPr>
          <w:t>Amendment/Clarification to Transition Services Agreement between Theravance and</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Theravance Biopharma, dated March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909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2071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extLst>
                    </a:blip>
                    <a:srcRect/>
                    <a:stretch>
                      <a:fillRect/>
                    </a:stretch>
                  </pic:blipFill>
                  <pic:spPr bwMode="auto">
                    <a:xfrm>
                      <a:off x="0" y="0"/>
                      <a:ext cx="2071370" cy="8890"/>
                    </a:xfrm>
                    <a:prstGeom prst="rect">
                      <a:avLst/>
                    </a:prstGeom>
                    <a:noFill/>
                  </pic:spPr>
                </pic:pic>
              </a:graphicData>
            </a:graphic>
          </wp:anchor>
        </w:drawing>
      </w:r>
    </w:p>
    <w:p>
      <w:pPr>
        <w:ind w:left="940" w:right="560" w:hanging="927"/>
        <w:spacing w:after="0" w:line="261"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57">
        <w:r>
          <w:rPr>
            <w:rFonts w:ascii="Times New Roman" w:cs="Times New Roman" w:eastAsia="Times New Roman" w:hAnsi="Times New Roman"/>
            <w:sz w:val="18"/>
            <w:szCs w:val="18"/>
            <w:u w:val="single" w:color="auto"/>
            <w:color w:val="0000FF"/>
          </w:rPr>
          <w:t>First Amendment to 2009 Change In Control Severance Plan (Renamed 2009</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-161925</wp:posOffset>
            </wp:positionV>
            <wp:extent cx="35699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35699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-24765</wp:posOffset>
            </wp:positionV>
            <wp:extent cx="739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ind w:left="940" w:right="80" w:hanging="877"/>
        <w:spacing w:after="0" w:line="210" w:lineRule="exact"/>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60">
        <w:r>
          <w:rPr>
            <w:rFonts w:ascii="Times New Roman" w:cs="Times New Roman" w:eastAsia="Times New Roman" w:hAnsi="Times New Roman"/>
            <w:sz w:val="18"/>
            <w:szCs w:val="18"/>
            <w:u w:val="single" w:color="auto"/>
            <w:color w:val="0000FF"/>
          </w:rPr>
          <w:t>Form of Notice of Performance</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Based Restricted Stock Award and Restricted Stock</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Award Agreement under 2012 Equity Incentive Plan (director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-161925</wp:posOffset>
            </wp:positionV>
            <wp:extent cx="38747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38747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-24765</wp:posOffset>
            </wp:positionV>
            <wp:extent cx="3111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63">
        <w:r>
          <w:rPr>
            <w:rFonts w:ascii="Times New Roman" w:cs="Times New Roman" w:eastAsia="Times New Roman" w:hAnsi="Times New Roman"/>
            <w:sz w:val="17"/>
            <w:szCs w:val="17"/>
            <w:u w:val="single" w:color="auto"/>
            <w:color w:val="0000FF"/>
          </w:rPr>
          <w:t>Second Amendment to 2009 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2033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2033905" cy="8255"/>
                    </a:xfrm>
                    <a:prstGeom prst="rect">
                      <a:avLst/>
                    </a:prstGeom>
                    <a:noFill/>
                  </pic:spPr>
                </pic:pic>
              </a:graphicData>
            </a:graphic>
          </wp:anchor>
        </w:drawing>
      </w:r>
    </w:p>
    <w:p>
      <w:pPr>
        <w:spacing w:after="0" w:line="1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65">
        <w:r>
          <w:rPr>
            <w:rFonts w:ascii="Times New Roman" w:cs="Times New Roman" w:eastAsia="Times New Roman" w:hAnsi="Times New Roman"/>
            <w:sz w:val="17"/>
            <w:szCs w:val="17"/>
            <w:u w:val="single" w:color="auto"/>
            <w:color w:val="0000FF"/>
          </w:rPr>
          <w:t>Offer Letter with Marianne Zhen, dated September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2701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1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67">
        <w:r>
          <w:rPr>
            <w:rFonts w:ascii="Times New Roman" w:cs="Times New Roman" w:eastAsia="Times New Roman" w:hAnsi="Times New Roman"/>
            <w:sz w:val="17"/>
            <w:szCs w:val="17"/>
            <w:u w:val="single" w:color="auto"/>
            <w:color w:val="0000FF"/>
          </w:rPr>
          <w:t>Offer Letter between Innoviva, Inc. and Pavel Raifeld, dated May 20,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3434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1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69">
        <w:r>
          <w:rPr>
            <w:rFonts w:ascii="Times New Roman" w:cs="Times New Roman" w:eastAsia="Times New Roman" w:hAnsi="Times New Roman"/>
            <w:sz w:val="17"/>
            <w:szCs w:val="17"/>
            <w:u w:val="single" w:color="auto"/>
            <w:color w:val="0000FF"/>
          </w:rPr>
          <w:t>Offer Letter between Innoviva, Inc. and Pavel Raifeld, dated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34658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a:extLst>
                        <a:ext uri="{28A0092B-C50C-407E-A947-70E740481C1C}"/>
                      </a:extLst>
                    </a:blip>
                    <a:srcRect/>
                    <a:stretch>
                      <a:fillRect/>
                    </a:stretch>
                  </pic:blipFill>
                  <pic:spPr bwMode="auto">
                    <a:xfrm>
                      <a:off x="0" y="0"/>
                      <a:ext cx="3465830" cy="8255"/>
                    </a:xfrm>
                    <a:prstGeom prst="rect">
                      <a:avLst/>
                    </a:prstGeom>
                    <a:noFill/>
                  </pic:spPr>
                </pic:pic>
              </a:graphicData>
            </a:graphic>
          </wp:anchor>
        </w:drawing>
      </w:r>
    </w:p>
    <w:p>
      <w:pPr>
        <w:spacing w:after="0" w:line="16" w:lineRule="exact"/>
        <w:rPr>
          <w:sz w:val="20"/>
          <w:szCs w:val="20"/>
          <w:color w:val="auto"/>
        </w:rPr>
      </w:pPr>
    </w:p>
    <w:p>
      <w:pPr>
        <w:ind w:left="940" w:right="40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71">
        <w:r>
          <w:rPr>
            <w:rFonts w:ascii="Times New Roman" w:cs="Times New Roman" w:eastAsia="Times New Roman" w:hAnsi="Times New Roman"/>
            <w:sz w:val="18"/>
            <w:szCs w:val="18"/>
            <w:u w:val="single" w:color="auto"/>
            <w:color w:val="0000FF"/>
          </w:rPr>
          <w:t>Strategic Advisory Agreement, dated as of December 11, 2020, by and between</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Sarissa Capital Management LP and Innoviva,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6728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367284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2329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extLst>
                    </a:blip>
                    <a:srcRect/>
                    <a:stretch>
                      <a:fillRect/>
                    </a:stretch>
                  </pic:blipFill>
                  <pic:spPr bwMode="auto">
                    <a:xfrm>
                      <a:off x="0" y="0"/>
                      <a:ext cx="2329180" cy="8255"/>
                    </a:xfrm>
                    <a:prstGeom prst="rect">
                      <a:avLst/>
                    </a:prstGeom>
                    <a:noFill/>
                  </pic:spPr>
                </pic:pic>
              </a:graphicData>
            </a:graphic>
          </wp:anchor>
        </w:drawing>
      </w:r>
    </w:p>
    <w:p>
      <w:pPr>
        <w:ind w:left="940" w:right="140" w:hanging="877"/>
        <w:spacing w:after="0" w:line="26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74">
        <w:r>
          <w:rPr>
            <w:rFonts w:ascii="Times New Roman" w:cs="Times New Roman" w:eastAsia="Times New Roman" w:hAnsi="Times New Roman"/>
            <w:sz w:val="18"/>
            <w:szCs w:val="18"/>
            <w:u w:val="single" w:color="auto"/>
            <w:color w:val="0000FF"/>
          </w:rPr>
          <w:t>Amended and Restated Limited Partnership Agreement of ISP Fund LP, dated as of</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December 11, 2020, by and among ISP Fund LP, Sarissa Capital Fund GP LP,</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Innoviva Strategic Partners LLC and the other parties named 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593725</wp:posOffset>
            </wp:positionH>
            <wp:positionV relativeFrom="paragraph">
              <wp:posOffset>-303530</wp:posOffset>
            </wp:positionV>
            <wp:extent cx="3845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a:extLst>
                        <a:ext uri="{28A0092B-C50C-407E-A947-70E740481C1C}"/>
                      </a:extLst>
                    </a:blip>
                    <a:srcRect/>
                    <a:stretch>
                      <a:fillRect/>
                    </a:stretch>
                  </pic:blipFill>
                  <pic:spPr bwMode="auto">
                    <a:xfrm>
                      <a:off x="0" y="0"/>
                      <a:ext cx="38455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-166370</wp:posOffset>
            </wp:positionV>
            <wp:extent cx="3588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6">
                      <a:extLst>
                        <a:ext uri="{28A0092B-C50C-407E-A947-70E740481C1C}"/>
                      </a:extLst>
                    </a:blip>
                    <a:srcRect/>
                    <a:stretch>
                      <a:fillRect/>
                    </a:stretch>
                  </pic:blipFill>
                  <pic:spPr bwMode="auto">
                    <a:xfrm>
                      <a:off x="0" y="0"/>
                      <a:ext cx="358838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-29210</wp:posOffset>
            </wp:positionV>
            <wp:extent cx="3124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7">
                      <a:extLst>
                        <a:ext uri="{28A0092B-C50C-407E-A947-70E740481C1C}"/>
                      </a:extLst>
                    </a:blip>
                    <a:srcRect/>
                    <a:stretch>
                      <a:fillRect/>
                    </a:stretch>
                  </pic:blipFill>
                  <pic:spPr bwMode="auto">
                    <a:xfrm>
                      <a:off x="0" y="0"/>
                      <a:ext cx="3124835" cy="8255"/>
                    </a:xfrm>
                    <a:prstGeom prst="rect">
                      <a:avLst/>
                    </a:prstGeom>
                    <a:noFill/>
                  </pic:spPr>
                </pic:pic>
              </a:graphicData>
            </a:graphic>
          </wp:anchor>
        </w:drawing>
      </w:r>
    </w:p>
    <w:p>
      <w:pPr>
        <w:ind w:left="940" w:right="8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78">
        <w:r>
          <w:rPr>
            <w:rFonts w:ascii="Times New Roman" w:cs="Times New Roman" w:eastAsia="Times New Roman" w:hAnsi="Times New Roman"/>
            <w:sz w:val="18"/>
            <w:szCs w:val="18"/>
            <w:u w:val="single" w:color="auto"/>
            <w:color w:val="0000FF"/>
          </w:rPr>
          <w:t>Share Repurchase Agreement, dated as of May 2021, by and between Innoviva, Inc.</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and Glaxo Group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87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387350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1183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ind w:left="940" w:right="48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81">
        <w:r>
          <w:rPr>
            <w:rFonts w:ascii="Times New Roman" w:cs="Times New Roman" w:eastAsia="Times New Roman" w:hAnsi="Times New Roman"/>
            <w:sz w:val="18"/>
            <w:szCs w:val="18"/>
            <w:u w:val="single" w:color="auto"/>
            <w:color w:val="0000FF"/>
          </w:rPr>
          <w:t>Letter Agreement, dated as of May 20, 2021, by and among Innoviva Strategic</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Partners LLC, ISP Fund LP and Sarissa Capital Fung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6296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36296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27705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2770505" cy="8890"/>
                    </a:xfrm>
                    <a:prstGeom prst="rect">
                      <a:avLst/>
                    </a:prstGeom>
                    <a:noFill/>
                  </pic:spPr>
                </pic:pic>
              </a:graphicData>
            </a:graphic>
          </wp:anchor>
        </w:drawing>
      </w:r>
    </w:p>
    <w:p>
      <w:pPr>
        <w:ind w:left="940" w:right="80" w:hanging="877"/>
        <w:spacing w:after="0" w:line="26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84">
        <w:r>
          <w:rPr>
            <w:rFonts w:ascii="Times New Roman" w:cs="Times New Roman" w:eastAsia="Times New Roman" w:hAnsi="Times New Roman"/>
            <w:sz w:val="18"/>
            <w:szCs w:val="18"/>
            <w:u w:val="single" w:color="auto"/>
            <w:color w:val="0000FF"/>
          </w:rPr>
          <w:t>Capped Call Confirmation dated March 2, 2022, by and among Innoviva, Inc., Bank</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of America, N.A., Goldman Sachs &amp; Co. LLC and Deutsche Bank AG, London</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Branch</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593725</wp:posOffset>
            </wp:positionH>
            <wp:positionV relativeFrom="paragraph">
              <wp:posOffset>-303530</wp:posOffset>
            </wp:positionV>
            <wp:extent cx="38836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38836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-166370</wp:posOffset>
            </wp:positionV>
            <wp:extent cx="3677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367728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-29210</wp:posOffset>
            </wp:positionV>
            <wp:extent cx="330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ind w:left="940" w:right="260" w:hanging="87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88">
        <w:r>
          <w:rPr>
            <w:rFonts w:ascii="Times New Roman" w:cs="Times New Roman" w:eastAsia="Times New Roman" w:hAnsi="Times New Roman"/>
            <w:sz w:val="18"/>
            <w:szCs w:val="18"/>
            <w:u w:val="single" w:color="auto"/>
            <w:color w:val="0000FF"/>
          </w:rPr>
          <w:t>Amendment No. 1 to the Investor Rights Agreement, dated May 23, 2022, by and</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among Innoviva, Inc. and Entasis Therapeutics Holdings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7630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376301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2798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jc w:val="right"/>
        <w:ind w:left="60" w:right="340"/>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91">
        <w:r>
          <w:rPr>
            <w:rFonts w:ascii="Times New Roman" w:cs="Times New Roman" w:eastAsia="Times New Roman" w:hAnsi="Times New Roman"/>
            <w:sz w:val="18"/>
            <w:szCs w:val="18"/>
            <w:u w:val="single" w:color="auto"/>
            <w:color w:val="0000FF"/>
          </w:rPr>
          <w:t>Support Agreement, dated July 10, 2022, by and among Innoviva, Inc., Innoviva</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Acquisition Sub, Inc., Tang Capital Partners, LP and Kevin C. Tang Foundation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7122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2">
                      <a:extLst>
                        <a:ext uri="{28A0092B-C50C-407E-A947-70E740481C1C}"/>
                      </a:extLst>
                    </a:blip>
                    <a:srcRect/>
                    <a:stretch>
                      <a:fillRect/>
                    </a:stretch>
                  </pic:blipFill>
                  <pic:spPr bwMode="auto">
                    <a:xfrm>
                      <a:off x="0" y="0"/>
                      <a:ext cx="371221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36461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3">
                      <a:extLst>
                        <a:ext uri="{28A0092B-C50C-407E-A947-70E740481C1C}"/>
                      </a:extLst>
                    </a:blip>
                    <a:srcRect/>
                    <a:stretch>
                      <a:fillRect/>
                    </a:stretch>
                  </pic:blipFill>
                  <pic:spPr bwMode="auto">
                    <a:xfrm>
                      <a:off x="0" y="0"/>
                      <a:ext cx="3646170" cy="8255"/>
                    </a:xfrm>
                    <a:prstGeom prst="rect">
                      <a:avLst/>
                    </a:prstGeom>
                    <a:noFill/>
                  </pic:spPr>
                </pic:pic>
              </a:graphicData>
            </a:graphic>
          </wp:anchor>
        </w:drawing>
      </w:r>
    </w:p>
    <w:p>
      <w:pPr>
        <w:ind w:left="940" w:right="420" w:hanging="877"/>
        <w:spacing w:after="0" w:line="281"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94">
        <w:r>
          <w:rPr>
            <w:rFonts w:ascii="Times New Roman" w:cs="Times New Roman" w:eastAsia="Times New Roman" w:hAnsi="Times New Roman"/>
            <w:sz w:val="17"/>
            <w:szCs w:val="17"/>
            <w:u w:val="single" w:color="auto"/>
            <w:color w:val="0000FF"/>
          </w:rPr>
          <w:t>Equity Purchase Agreement, dated July 13, 2022, by and among Innoviva, Inc.,</w:t>
        </w:r>
      </w:hyperlink>
      <w:r>
        <w:rPr>
          <w:rFonts w:ascii="Times New Roman" w:cs="Times New Roman" w:eastAsia="Times New Roman" w:hAnsi="Times New Roman"/>
          <w:sz w:val="17"/>
          <w:szCs w:val="17"/>
          <w:u w:val="single" w:color="auto"/>
          <w:color w:val="0000FF"/>
        </w:rPr>
        <w:t xml:space="preserve"> </w:t>
      </w:r>
      <w:hyperlink r:id="rId94">
        <w:r>
          <w:rPr>
            <w:rFonts w:ascii="Times New Roman" w:cs="Times New Roman" w:eastAsia="Times New Roman" w:hAnsi="Times New Roman"/>
            <w:sz w:val="17"/>
            <w:szCs w:val="17"/>
            <w:u w:val="single" w:color="auto"/>
            <w:color w:val="0000FF"/>
          </w:rPr>
          <w:t>Innoviva TRC Holdings LLC and Royalty Pharma Investments 2019 ICAV</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-167005</wp:posOffset>
            </wp:positionV>
            <wp:extent cx="3661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5">
                      <a:extLst>
                        <a:ext uri="{28A0092B-C50C-407E-A947-70E740481C1C}"/>
                      </a:extLst>
                    </a:blip>
                    <a:srcRect/>
                    <a:stretch>
                      <a:fillRect/>
                    </a:stretch>
                  </pic:blipFill>
                  <pic:spPr bwMode="auto">
                    <a:xfrm>
                      <a:off x="0" y="0"/>
                      <a:ext cx="366141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-29845</wp:posOffset>
            </wp:positionV>
            <wp:extent cx="34410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a:extLst>
                        <a:ext uri="{28A0092B-C50C-407E-A947-70E740481C1C}"/>
                      </a:extLst>
                    </a:blip>
                    <a:srcRect/>
                    <a:stretch>
                      <a:fillRect/>
                    </a:stretch>
                  </pic:blipFill>
                  <pic:spPr bwMode="auto">
                    <a:xfrm>
                      <a:off x="0" y="0"/>
                      <a:ext cx="3441065" cy="8890"/>
                    </a:xfrm>
                    <a:prstGeom prst="rect">
                      <a:avLst/>
                    </a:prstGeom>
                    <a:noFill/>
                  </pic:spPr>
                </pic:pic>
              </a:graphicData>
            </a:graphic>
          </wp:anchor>
        </w:drawing>
      </w:r>
    </w:p>
    <w:p>
      <w:pPr>
        <w:jc w:val="right"/>
        <w:ind w:left="60" w:right="140"/>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10.35     </w:t>
      </w:r>
      <w:hyperlink r:id="rId97">
        <w:r>
          <w:rPr>
            <w:rFonts w:ascii="Times New Roman" w:cs="Times New Roman" w:eastAsia="Times New Roman" w:hAnsi="Times New Roman"/>
            <w:sz w:val="18"/>
            <w:szCs w:val="18"/>
            <w:u w:val="single" w:color="auto"/>
            <w:color w:val="0000FF"/>
          </w:rPr>
          <w:t>Third Amendment to Collaboration Agreement, dated July 13, 2022, by and among</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Innoviva, Inc., Glaxo Group Limited, and Theravance Respiratory Company,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-167640</wp:posOffset>
            </wp:positionV>
            <wp:extent cx="38423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8">
                      <a:extLst>
                        <a:ext uri="{28A0092B-C50C-407E-A947-70E740481C1C}"/>
                      </a:extLst>
                    </a:blip>
                    <a:srcRect/>
                    <a:stretch>
                      <a:fillRect/>
                    </a:stretch>
                  </pic:blipFill>
                  <pic:spPr bwMode="auto">
                    <a:xfrm>
                      <a:off x="0" y="0"/>
                      <a:ext cx="384238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-30480</wp:posOffset>
            </wp:positionV>
            <wp:extent cx="37966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a:extLst>
                        <a:ext uri="{28A0092B-C50C-407E-A947-70E740481C1C}"/>
                      </a:extLst>
                    </a:blip>
                    <a:srcRect/>
                    <a:stretch>
                      <a:fillRect/>
                    </a:stretch>
                  </pic:blipFill>
                  <pic:spPr bwMode="auto">
                    <a:xfrm>
                      <a:off x="0" y="0"/>
                      <a:ext cx="3796665" cy="8255"/>
                    </a:xfrm>
                    <a:prstGeom prst="rect">
                      <a:avLst/>
                    </a:prstGeom>
                    <a:noFill/>
                  </pic:spPr>
                </pic:pic>
              </a:graphicData>
            </a:graphic>
          </wp:anchor>
        </w:drawing>
      </w: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100">
        <w:r>
          <w:rPr>
            <w:rFonts w:ascii="Times New Roman" w:cs="Times New Roman" w:eastAsia="Times New Roman" w:hAnsi="Times New Roman"/>
            <w:sz w:val="17"/>
            <w:szCs w:val="17"/>
            <w:u w:val="single" w:color="auto"/>
            <w:color w:val="0000FF"/>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23.1</w:t>
      </w:r>
      <w:r>
        <w:rPr>
          <w:sz w:val="20"/>
          <w:szCs w:val="20"/>
          <w:color w:val="auto"/>
        </w:rPr>
        <w:tab/>
      </w:r>
      <w:hyperlink r:id="rId102">
        <w:r>
          <w:rPr>
            <w:rFonts w:ascii="Times New Roman" w:cs="Times New Roman" w:eastAsia="Times New Roman" w:hAnsi="Times New Roman"/>
            <w:sz w:val="17"/>
            <w:szCs w:val="17"/>
            <w:u w:val="single" w:color="auto"/>
            <w:color w:val="0000FF"/>
          </w:rPr>
          <w:t>Consent of Deloitte &amp; Touche LLP,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38665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3">
                      <a:extLst>
                        <a:ext uri="{28A0092B-C50C-407E-A947-70E740481C1C}"/>
                      </a:extLst>
                    </a:blip>
                    <a:srcRect/>
                    <a:stretch>
                      <a:fillRect/>
                    </a:stretch>
                  </pic:blipFill>
                  <pic:spPr bwMode="auto">
                    <a:xfrm>
                      <a:off x="0" y="0"/>
                      <a:ext cx="3866515" cy="8890"/>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23.2</w:t>
      </w:r>
      <w:r>
        <w:rPr>
          <w:sz w:val="20"/>
          <w:szCs w:val="20"/>
          <w:color w:val="auto"/>
        </w:rPr>
        <w:tab/>
      </w:r>
      <w:hyperlink r:id="rId104">
        <w:r>
          <w:rPr>
            <w:rFonts w:ascii="Times New Roman" w:cs="Times New Roman" w:eastAsia="Times New Roman" w:hAnsi="Times New Roman"/>
            <w:sz w:val="17"/>
            <w:szCs w:val="17"/>
            <w:u w:val="single" w:color="auto"/>
            <w:color w:val="0000FF"/>
          </w:rPr>
          <w:t>Consent of Grant Thornton LLC,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3757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5">
                      <a:extLst>
                        <a:ext uri="{28A0092B-C50C-407E-A947-70E740481C1C}"/>
                      </a:extLst>
                    </a:blip>
                    <a:srcRect/>
                    <a:stretch>
                      <a:fillRect/>
                    </a:stretch>
                  </pic:blipFill>
                  <pic:spPr bwMode="auto">
                    <a:xfrm>
                      <a:off x="0" y="0"/>
                      <a:ext cx="3757295" cy="8890"/>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FF"/>
        </w:rPr>
        <w:t>Consent of Ernst &amp; Young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3704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7" w:lineRule="exact"/>
        <w:rPr>
          <w:sz w:val="20"/>
          <w:szCs w:val="20"/>
          <w:color w:val="auto"/>
        </w:rPr>
      </w:pPr>
    </w:p>
    <w:p>
      <w:pPr>
        <w:ind w:left="100"/>
        <w:spacing w:after="0" w:line="207" w:lineRule="exact"/>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24.1</w:t>
      </w:r>
      <w:r>
        <w:rPr>
          <w:sz w:val="20"/>
          <w:szCs w:val="20"/>
          <w:color w:val="auto"/>
        </w:rPr>
        <w:tab/>
      </w:r>
      <w:hyperlink r:id="rId107">
        <w:r>
          <w:rPr>
            <w:rFonts w:ascii="Times New Roman" w:cs="Times New Roman" w:eastAsia="Times New Roman" w:hAnsi="Times New Roman"/>
            <w:sz w:val="18"/>
            <w:szCs w:val="18"/>
            <w:u w:val="single" w:color="auto"/>
            <w:color w:val="0000FF"/>
          </w:rPr>
          <w:t>Power of Attorney (see signature page to this Annual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-1905</wp:posOffset>
            </wp:positionV>
            <wp:extent cx="3495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8">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36" w:lineRule="exact"/>
        <w:rPr>
          <w:sz w:val="20"/>
          <w:szCs w:val="20"/>
          <w:color w:val="auto"/>
        </w:rPr>
      </w:pPr>
    </w:p>
    <w:p>
      <w:pPr>
        <w:ind w:left="940" w:right="500" w:hanging="831"/>
        <w:spacing w:after="0" w:line="220" w:lineRule="exact"/>
        <w:tabs>
          <w:tab w:leader="none" w:pos="9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-161925</wp:posOffset>
            </wp:positionV>
            <wp:extent cx="36099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a:extLst>
                        <a:ext uri="{28A0092B-C50C-407E-A947-70E740481C1C}"/>
                      </a:extLst>
                    </a:blip>
                    <a:srcRect/>
                    <a:stretch>
                      <a:fillRect/>
                    </a:stretch>
                  </pic:blipFill>
                  <pic:spPr bwMode="auto">
                    <a:xfrm>
                      <a:off x="0" y="0"/>
                      <a:ext cx="360997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-24765</wp:posOffset>
            </wp:positionV>
            <wp:extent cx="1503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0">
                      <a:extLst>
                        <a:ext uri="{28A0092B-C50C-407E-A947-70E740481C1C}"/>
                      </a:extLst>
                    </a:blip>
                    <a:srcRect/>
                    <a:stretch>
                      <a:fillRect/>
                    </a:stretch>
                  </pic:blipFill>
                  <pic:spPr bwMode="auto">
                    <a:xfrm>
                      <a:off x="0" y="0"/>
                      <a:ext cx="1503680" cy="8890"/>
                    </a:xfrm>
                    <a:prstGeom prst="rect">
                      <a:avLst/>
                    </a:prstGeom>
                    <a:noFill/>
                  </pic:spPr>
                </pic:pic>
              </a:graphicData>
            </a:graphic>
          </wp:anchor>
        </w:drawing>
      </w:r>
    </w:p>
    <w:p>
      <w:pPr>
        <w:ind w:left="940" w:right="560" w:hanging="831"/>
        <w:spacing w:after="0" w:line="211" w:lineRule="exact"/>
        <w:tabs>
          <w:tab w:leader="none" w:pos="9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-161925</wp:posOffset>
            </wp:positionV>
            <wp:extent cx="35782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1">
                      <a:extLst>
                        <a:ext uri="{28A0092B-C50C-407E-A947-70E740481C1C}"/>
                      </a:extLst>
                    </a:blip>
                    <a:srcRect/>
                    <a:stretch>
                      <a:fillRect/>
                    </a:stretch>
                  </pic:blipFill>
                  <pic:spPr bwMode="auto">
                    <a:xfrm>
                      <a:off x="0" y="0"/>
                      <a:ext cx="35782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-24765</wp:posOffset>
            </wp:positionV>
            <wp:extent cx="15036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2">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5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9"/>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9"/>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9"/>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9"/>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10.64</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3/31/2015</w:t>
            </w:r>
          </w:p>
        </w:tc>
      </w:tr>
      <w:tr>
        <w:trPr>
          <w:trHeight w:val="459"/>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7/29/2015</w:t>
            </w:r>
          </w:p>
        </w:tc>
      </w:tr>
      <w:tr>
        <w:trPr>
          <w:trHeight w:val="459"/>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10.76</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2/23/2018</w:t>
            </w:r>
          </w:p>
        </w:tc>
      </w:tr>
      <w:tr>
        <w:trPr>
          <w:trHeight w:val="419"/>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7/26/2018</w:t>
            </w:r>
          </w:p>
        </w:tc>
      </w:tr>
      <w:tr>
        <w:trPr>
          <w:trHeight w:val="243"/>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9/11/2018</w:t>
            </w:r>
          </w:p>
        </w:tc>
      </w:tr>
      <w:tr>
        <w:trPr>
          <w:trHeight w:val="272"/>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5/26/2020</w:t>
            </w:r>
          </w:p>
        </w:tc>
      </w:tr>
      <w:tr>
        <w:trPr>
          <w:trHeight w:val="214"/>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5/2/2022</w:t>
            </w:r>
          </w:p>
        </w:tc>
      </w:tr>
      <w:tr>
        <w:trPr>
          <w:trHeight w:val="283"/>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12/14/2020</w:t>
            </w:r>
          </w:p>
        </w:tc>
      </w:tr>
      <w:tr>
        <w:trPr>
          <w:trHeight w:val="459"/>
        </w:trPr>
        <w:tc>
          <w:tcPr>
            <w:tcW w:w="62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12/14/2020</w:t>
            </w:r>
          </w:p>
        </w:tc>
      </w:tr>
      <w:tr>
        <w:trPr>
          <w:trHeight w:val="655"/>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5/20/2021</w:t>
            </w:r>
          </w:p>
        </w:tc>
      </w:tr>
      <w:tr>
        <w:trPr>
          <w:trHeight w:val="459"/>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5/20/2021</w:t>
            </w:r>
          </w:p>
        </w:tc>
      </w:tr>
      <w:tr>
        <w:trPr>
          <w:trHeight w:val="459"/>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3/8/2022</w:t>
            </w:r>
          </w:p>
        </w:tc>
      </w:tr>
      <w:tr>
        <w:trPr>
          <w:trHeight w:val="675"/>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5/24/2022</w:t>
            </w:r>
          </w:p>
        </w:tc>
      </w:tr>
      <w:tr>
        <w:trPr>
          <w:trHeight w:val="459"/>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7/11/2022</w:t>
            </w:r>
          </w:p>
        </w:tc>
      </w:tr>
      <w:tr>
        <w:trPr>
          <w:trHeight w:val="459"/>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7/13/2022</w:t>
            </w:r>
          </w:p>
        </w:tc>
      </w:tr>
      <w:tr>
        <w:trPr>
          <w:trHeight w:val="459"/>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7/13/2022</w:t>
            </w:r>
          </w:p>
        </w:tc>
      </w:tr>
    </w:tbl>
    <w:p>
      <w:pPr>
        <w:spacing w:after="0" w:line="225" w:lineRule="exact"/>
        <w:rPr>
          <w:sz w:val="20"/>
          <w:szCs w:val="20"/>
          <w:color w:val="auto"/>
        </w:rPr>
      </w:pPr>
    </w:p>
    <w:p>
      <w:pPr>
        <w:jc w:val="center"/>
        <w:ind w:left="-2339"/>
        <w:spacing w:after="0"/>
        <w:rPr>
          <w:sz w:val="20"/>
          <w:szCs w:val="20"/>
          <w:color w:val="auto"/>
        </w:rPr>
      </w:pPr>
      <w:r>
        <w:rPr>
          <w:rFonts w:ascii="Times New Roman" w:cs="Times New Roman" w:eastAsia="Times New Roman" w:hAnsi="Times New Roman"/>
          <w:sz w:val="17"/>
          <w:szCs w:val="17"/>
          <w:color w:val="auto"/>
        </w:rPr>
        <w:t>X**</w:t>
      </w:r>
    </w:p>
    <w:p>
      <w:pPr>
        <w:spacing w:after="0" w:line="48" w:lineRule="exact"/>
        <w:rPr>
          <w:sz w:val="20"/>
          <w:szCs w:val="20"/>
          <w:color w:val="auto"/>
        </w:rPr>
      </w:pPr>
    </w:p>
    <w:p>
      <w:pPr>
        <w:jc w:val="center"/>
        <w:ind w:left="-2339"/>
        <w:spacing w:after="0"/>
        <w:rPr>
          <w:sz w:val="20"/>
          <w:szCs w:val="20"/>
          <w:color w:val="auto"/>
        </w:rPr>
      </w:pPr>
      <w:r>
        <w:rPr>
          <w:rFonts w:ascii="Times New Roman" w:cs="Times New Roman" w:eastAsia="Times New Roman" w:hAnsi="Times New Roman"/>
          <w:sz w:val="17"/>
          <w:szCs w:val="17"/>
          <w:color w:val="auto"/>
        </w:rPr>
        <w:t>X**</w:t>
      </w:r>
    </w:p>
    <w:p>
      <w:pPr>
        <w:spacing w:after="0" w:line="48" w:lineRule="exact"/>
        <w:rPr>
          <w:sz w:val="20"/>
          <w:szCs w:val="20"/>
          <w:color w:val="auto"/>
        </w:rPr>
      </w:pPr>
    </w:p>
    <w:p>
      <w:pPr>
        <w:jc w:val="center"/>
        <w:ind w:left="-2339"/>
        <w:spacing w:after="0"/>
        <w:rPr>
          <w:sz w:val="20"/>
          <w:szCs w:val="20"/>
          <w:color w:val="auto"/>
        </w:rPr>
      </w:pPr>
      <w:r>
        <w:rPr>
          <w:rFonts w:ascii="Times New Roman" w:cs="Times New Roman" w:eastAsia="Times New Roman" w:hAnsi="Times New Roman"/>
          <w:sz w:val="17"/>
          <w:szCs w:val="17"/>
          <w:color w:val="auto"/>
        </w:rPr>
        <w:t>X**</w:t>
      </w:r>
    </w:p>
    <w:p>
      <w:pPr>
        <w:spacing w:after="0" w:line="48" w:lineRule="exact"/>
        <w:rPr>
          <w:sz w:val="20"/>
          <w:szCs w:val="20"/>
          <w:color w:val="auto"/>
        </w:rPr>
      </w:pPr>
    </w:p>
    <w:p>
      <w:pPr>
        <w:jc w:val="center"/>
        <w:ind w:left="-2339"/>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jc w:val="center"/>
        <w:ind w:left="-2339"/>
        <w:spacing w:after="0"/>
        <w:rPr>
          <w:sz w:val="20"/>
          <w:szCs w:val="20"/>
          <w:color w:val="auto"/>
        </w:rPr>
      </w:pPr>
      <w:r>
        <w:rPr>
          <w:rFonts w:ascii="Times New Roman" w:cs="Times New Roman" w:eastAsia="Times New Roman" w:hAnsi="Times New Roman"/>
          <w:sz w:val="17"/>
          <w:szCs w:val="17"/>
          <w:color w:val="auto"/>
        </w:rPr>
        <w:t>X**</w:t>
      </w:r>
    </w:p>
    <w:p>
      <w:pPr>
        <w:spacing w:after="0" w:line="48" w:lineRule="exact"/>
        <w:rPr>
          <w:sz w:val="20"/>
          <w:szCs w:val="20"/>
          <w:color w:val="auto"/>
        </w:rPr>
      </w:pPr>
    </w:p>
    <w:p>
      <w:pPr>
        <w:jc w:val="center"/>
        <w:ind w:left="-2339"/>
        <w:spacing w:after="0"/>
        <w:rPr>
          <w:sz w:val="20"/>
          <w:szCs w:val="20"/>
          <w:color w:val="auto"/>
        </w:rPr>
      </w:pPr>
      <w:r>
        <w:rPr>
          <w:rFonts w:ascii="Times New Roman" w:cs="Times New Roman" w:eastAsia="Times New Roman" w:hAnsi="Times New Roman"/>
          <w:sz w:val="18"/>
          <w:szCs w:val="18"/>
          <w:color w:val="auto"/>
        </w:rPr>
        <w:t>X</w:t>
      </w:r>
    </w:p>
    <w:p>
      <w:pPr>
        <w:spacing w:after="0" w:line="2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080" w:space="360"/>
            <w:col w:w="3300"/>
          </w:cols>
          <w:pgMar w:left="500" w:top="106" w:right="65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32#</w:t>
            </w:r>
          </w:p>
        </w:tc>
        <w:tc>
          <w:tcPr>
            <w:tcW w:w="3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Certifications Pursuant to 18 U.S.C. Section 1350</w:t>
            </w:r>
          </w:p>
        </w:tc>
        <w:tc>
          <w:tcPr>
            <w:tcW w:w="20" w:type="dxa"/>
            <w:vAlign w:val="bottom"/>
            <w:tcBorders>
              <w:bottom w:val="single" w:sz="8" w:color="0000EE"/>
            </w:tcBorders>
          </w:tcPr>
          <w:p>
            <w:pPr>
              <w:spacing w:after="0"/>
              <w:rPr>
                <w:sz w:val="17"/>
                <w:szCs w:val="17"/>
                <w:color w:val="auto"/>
              </w:rPr>
            </w:pPr>
          </w:p>
        </w:tc>
        <w:tc>
          <w:tcPr>
            <w:tcW w:w="246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99.1</w:t>
            </w:r>
          </w:p>
        </w:tc>
        <w:tc>
          <w:tcPr>
            <w:tcW w:w="5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Audited Consolidated Financial Statements of Armata Pharmaceuticals, Inc.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020" w:type="dxa"/>
            <w:vAlign w:val="bottom"/>
          </w:tcPr>
          <w:p>
            <w:pPr>
              <w:spacing w:after="0"/>
              <w:rPr>
                <w:sz w:val="17"/>
                <w:szCs w:val="17"/>
                <w:color w:val="auto"/>
              </w:rPr>
            </w:pPr>
          </w:p>
        </w:tc>
        <w:tc>
          <w:tcPr>
            <w:tcW w:w="56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December 31, 2022 and 2021 and for the two years ended December 31, 2022</w:t>
            </w:r>
          </w:p>
        </w:tc>
        <w:tc>
          <w:tcPr>
            <w:tcW w:w="20" w:type="dxa"/>
            <w:vAlign w:val="bottom"/>
            <w:tcBorders>
              <w:bottom w:val="single" w:sz="8" w:color="0000EE"/>
            </w:tcBorders>
          </w:tcPr>
          <w:p>
            <w:pPr>
              <w:spacing w:after="0"/>
              <w:rPr>
                <w:sz w:val="17"/>
                <w:szCs w:val="17"/>
                <w:color w:val="auto"/>
              </w:rPr>
            </w:pPr>
          </w:p>
        </w:tc>
        <w:tc>
          <w:tcPr>
            <w:tcW w:w="4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99.2</w:t>
            </w:r>
          </w:p>
        </w:tc>
        <w:tc>
          <w:tcPr>
            <w:tcW w:w="60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1 on Form 10-K/A for Innoviva, Inc. for the year ended December</w:t>
              </w:r>
            </w:hyperlink>
          </w:p>
        </w:tc>
        <w:tc>
          <w:tcPr>
            <w:tcW w:w="1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10-K/A</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99.1</w:t>
            </w:r>
          </w:p>
        </w:tc>
        <w:tc>
          <w:tcPr>
            <w:tcW w:w="18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3/17/2022</w:t>
            </w:r>
          </w:p>
        </w:tc>
      </w:tr>
      <w:tr>
        <w:trPr>
          <w:trHeight w:val="196"/>
        </w:trPr>
        <w:tc>
          <w:tcPr>
            <w:tcW w:w="1020" w:type="dxa"/>
            <w:vAlign w:val="bottom"/>
          </w:tcPr>
          <w:p>
            <w:pPr>
              <w:spacing w:after="0"/>
              <w:rPr>
                <w:sz w:val="17"/>
                <w:szCs w:val="17"/>
                <w:color w:val="auto"/>
              </w:rPr>
            </w:pPr>
          </w:p>
        </w:tc>
        <w:tc>
          <w:tcPr>
            <w:tcW w:w="2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14">
              <w:r>
                <w:rPr>
                  <w:rFonts w:ascii="Times New Roman" w:cs="Times New Roman" w:eastAsia="Times New Roman" w:hAnsi="Times New Roman"/>
                  <w:sz w:val="18"/>
                  <w:szCs w:val="18"/>
                  <w:color w:val="0000FF"/>
                  <w:w w:val="98"/>
                </w:rPr>
                <w:t>31, 2021, filed on March 17, 2022</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r>
        <w:trPr>
          <w:trHeight w:val="216"/>
        </w:trPr>
        <w:tc>
          <w:tcPr>
            <w:tcW w:w="1020" w:type="dxa"/>
            <w:vAlign w:val="bottom"/>
          </w:tcPr>
          <w:p>
            <w:pPr>
              <w:spacing w:after="0"/>
              <w:rPr>
                <w:sz w:val="18"/>
                <w:szCs w:val="18"/>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101.DEF</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101.PRE</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104</w:t>
            </w:r>
          </w:p>
        </w:tc>
        <w:tc>
          <w:tcPr>
            <w:tcW w:w="6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6"/>
              </w:rPr>
              <w:t>X**</w:t>
            </w:r>
          </w:p>
        </w:tc>
      </w:tr>
    </w:tbl>
    <w:p>
      <w:pPr>
        <w:spacing w:after="0" w:line="115" w:lineRule="exact"/>
        <w:rPr>
          <w:sz w:val="20"/>
          <w:szCs w:val="20"/>
          <w:color w:val="auto"/>
        </w:rPr>
      </w:pPr>
    </w:p>
    <w:p>
      <w:pPr>
        <w:ind w:left="340" w:hanging="332"/>
        <w:spacing w:after="0" w:line="207" w:lineRule="exact"/>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pursuant to Item 15(b)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8084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8" w:lineRule="exact"/>
        <w:rPr>
          <w:sz w:val="20"/>
          <w:szCs w:val="20"/>
          <w:color w:val="auto"/>
        </w:rPr>
      </w:pPr>
    </w:p>
    <w:p>
      <w:pPr>
        <w:ind w:left="380" w:hanging="372"/>
        <w:spacing w:after="0" w:line="249" w:lineRule="auto"/>
        <w:tabs>
          <w:tab w:leader="none" w:pos="3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certain portions which are omitted in the copy of the exhibit electronically filed with the Securities and Exchange Commission. The omitted information has been filed separately with the Securities and Exchange Commission pursuant to Innoviva, Inc.’s application for confidential treatment.</w:t>
      </w:r>
    </w:p>
    <w:p>
      <w:pPr>
        <w:spacing w:after="0" w:line="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Original Filing on February 28, 2023.</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INNOVIVA, INC.</w:t>
      </w:r>
    </w:p>
    <w:p>
      <w:pPr>
        <w:spacing w:after="0" w:line="279" w:lineRule="exact"/>
        <w:rPr>
          <w:sz w:val="20"/>
          <w:szCs w:val="20"/>
          <w:color w:val="auto"/>
        </w:rPr>
      </w:pPr>
    </w:p>
    <w:p>
      <w:pPr>
        <w:ind w:left="20"/>
        <w:spacing w:after="0"/>
        <w:tabs>
          <w:tab w:leader="none" w:pos="5340" w:val="left"/>
          <w:tab w:leader="none" w:pos="7680" w:val="left"/>
        </w:tabs>
        <w:rPr>
          <w:sz w:val="20"/>
          <w:szCs w:val="20"/>
          <w:color w:val="auto"/>
        </w:rPr>
      </w:pPr>
      <w:r>
        <w:rPr>
          <w:rFonts w:ascii="Times New Roman" w:cs="Times New Roman" w:eastAsia="Times New Roman" w:hAnsi="Times New Roman"/>
          <w:sz w:val="18"/>
          <w:szCs w:val="18"/>
          <w:color w:val="auto"/>
        </w:rPr>
        <w:t>Date: March 20,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0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Pavel Raifeld</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use of our report dated March 16, 2023, with respect to the consolidated financial statements of Armata Pharmaceuticals, Inc., included in the Annual Report (Form 10-K/A) of Innoviva, Inc. for the year ended December 31, 2022 and to the use of our report dated March 17, 2022, with respect to the consolidated financial statements of Armata Pharmaceuticals, Inc., incorporated by reference in the Annual Report (Form 10-K/A) of Innoviva, Inc. for the year ended December 31, 2022 filed with the Securities and Exchange Commission.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Pursuant to Section 302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Pavel Raifeld, certify that:</w:t>
      </w:r>
    </w:p>
    <w:p>
      <w:pPr>
        <w:spacing w:after="0" w:line="196" w:lineRule="exact"/>
        <w:rPr>
          <w:sz w:val="20"/>
          <w:szCs w:val="20"/>
          <w:color w:val="auto"/>
        </w:rPr>
      </w:pPr>
    </w:p>
    <w:p>
      <w:pPr>
        <w:ind w:left="640" w:hanging="632"/>
        <w:spacing w:after="0" w:line="207" w:lineRule="exact"/>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of Innoviva, Inc.;</w:t>
      </w:r>
    </w:p>
    <w:p>
      <w:pPr>
        <w:spacing w:after="0" w:line="253"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6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100" w:hanging="752"/>
        <w:spacing w:after="0" w:line="282" w:lineRule="auto"/>
        <w:tabs>
          <w:tab w:leader="none" w:pos="6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140" w:hanging="752"/>
        <w:spacing w:after="0" w:line="229" w:lineRule="exact"/>
        <w:tabs>
          <w:tab w:leader="none" w:pos="6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1500" w:right="140" w:hanging="690"/>
        <w:spacing w:after="0" w:line="266" w:lineRule="auto"/>
        <w:tabs>
          <w:tab w:leader="none" w:pos="14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60" w:hanging="690"/>
        <w:spacing w:after="0" w:line="266" w:lineRule="auto"/>
        <w:tabs>
          <w:tab w:leader="none" w:pos="144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690"/>
        <w:spacing w:after="0" w:line="282" w:lineRule="auto"/>
        <w:tabs>
          <w:tab w:leader="none" w:pos="148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60" w:hanging="690"/>
        <w:spacing w:after="0" w:line="266" w:lineRule="auto"/>
        <w:tabs>
          <w:tab w:leader="none" w:pos="144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6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20" w:hanging="690"/>
        <w:spacing w:after="0" w:line="282" w:lineRule="auto"/>
        <w:tabs>
          <w:tab w:leader="none" w:pos="14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690"/>
        <w:spacing w:after="0" w:line="282" w:lineRule="auto"/>
        <w:tabs>
          <w:tab w:leader="none" w:pos="144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0" w:val="left"/>
          <w:tab w:leader="none" w:pos="7700" w:val="left"/>
        </w:tabs>
        <w:rPr>
          <w:sz w:val="20"/>
          <w:szCs w:val="20"/>
          <w:color w:val="auto"/>
        </w:rPr>
      </w:pPr>
      <w:r>
        <w:rPr>
          <w:rFonts w:ascii="Times New Roman" w:cs="Times New Roman" w:eastAsia="Times New Roman" w:hAnsi="Times New Roman"/>
          <w:sz w:val="18"/>
          <w:szCs w:val="18"/>
          <w:color w:val="auto"/>
        </w:rPr>
        <w:t>Date:</w:t>
        <w:tab/>
        <w:t>March 20, 2023</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Pavel Raifeld</w:t>
      </w:r>
    </w:p>
    <w:p>
      <w:pPr>
        <w:spacing w:after="0" w:line="3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Accounting Officer</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Pursuant to Section 302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Marianne Zhen, certify that:</w:t>
      </w:r>
    </w:p>
    <w:p>
      <w:pPr>
        <w:spacing w:after="0" w:line="196" w:lineRule="exact"/>
        <w:rPr>
          <w:sz w:val="20"/>
          <w:szCs w:val="20"/>
          <w:color w:val="auto"/>
        </w:rPr>
      </w:pPr>
    </w:p>
    <w:p>
      <w:pPr>
        <w:ind w:left="640" w:hanging="632"/>
        <w:spacing w:after="0" w:line="207" w:lineRule="exact"/>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of Innoviva, Inc.;</w:t>
      </w:r>
    </w:p>
    <w:p>
      <w:pPr>
        <w:spacing w:after="0" w:line="253"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6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100" w:hanging="752"/>
        <w:spacing w:after="0" w:line="282" w:lineRule="auto"/>
        <w:tabs>
          <w:tab w:leader="none" w:pos="6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140" w:hanging="752"/>
        <w:spacing w:after="0" w:line="229" w:lineRule="exact"/>
        <w:tabs>
          <w:tab w:leader="none" w:pos="6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1500" w:right="140" w:hanging="690"/>
        <w:spacing w:after="0" w:line="266" w:lineRule="auto"/>
        <w:tabs>
          <w:tab w:leader="none" w:pos="143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60" w:hanging="690"/>
        <w:spacing w:after="0" w:line="266" w:lineRule="auto"/>
        <w:tabs>
          <w:tab w:leader="none" w:pos="144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00" w:hanging="690"/>
        <w:spacing w:after="0" w:line="282" w:lineRule="auto"/>
        <w:tabs>
          <w:tab w:leader="none" w:pos="143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60" w:hanging="690"/>
        <w:spacing w:after="0" w:line="266" w:lineRule="auto"/>
        <w:tabs>
          <w:tab w:leader="none" w:pos="144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00" w:hanging="752"/>
        <w:spacing w:after="0" w:line="282" w:lineRule="auto"/>
        <w:tabs>
          <w:tab w:leader="none" w:pos="6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20" w:hanging="690"/>
        <w:spacing w:after="0" w:line="282" w:lineRule="auto"/>
        <w:tabs>
          <w:tab w:leader="none" w:pos="143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40" w:hanging="690"/>
        <w:spacing w:after="0" w:line="282" w:lineRule="auto"/>
        <w:tabs>
          <w:tab w:leader="none" w:pos="140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0" w:val="left"/>
          <w:tab w:leader="none" w:pos="7640" w:val="left"/>
        </w:tabs>
        <w:rPr>
          <w:sz w:val="20"/>
          <w:szCs w:val="20"/>
          <w:color w:val="auto"/>
        </w:rPr>
      </w:pPr>
      <w:r>
        <w:rPr>
          <w:rFonts w:ascii="Times New Roman" w:cs="Times New Roman" w:eastAsia="Times New Roman" w:hAnsi="Times New Roman"/>
          <w:sz w:val="18"/>
          <w:szCs w:val="18"/>
          <w:color w:val="auto"/>
        </w:rPr>
        <w:t>Date:</w:t>
        <w:tab/>
        <w:t>March 20, 2023</w:t>
      </w:r>
      <w:r>
        <w:rPr>
          <w:sz w:val="20"/>
          <w:szCs w:val="20"/>
          <w:color w:val="auto"/>
        </w:rPr>
        <w:tab/>
      </w:r>
      <w:r>
        <w:rPr>
          <w:rFonts w:ascii="Times New Roman" w:cs="Times New Roman" w:eastAsia="Times New Roman" w:hAnsi="Times New Roman"/>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0"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Marianne Zhen</w:t>
      </w:r>
    </w:p>
    <w:p>
      <w:pPr>
        <w:spacing w:after="0" w:line="34"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3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83" w:lineRule="exact"/>
        <w:rPr>
          <w:sz w:val="20"/>
          <w:szCs w:val="20"/>
          <w:color w:val="auto"/>
        </w:rPr>
      </w:pPr>
    </w:p>
    <w:p>
      <w:pPr>
        <w:ind w:firstLine="749"/>
        <w:spacing w:after="0" w:line="229" w:lineRule="exact"/>
        <w:rPr>
          <w:sz w:val="20"/>
          <w:szCs w:val="20"/>
          <w:color w:val="auto"/>
        </w:rPr>
      </w:pPr>
      <w:r>
        <w:rPr>
          <w:rFonts w:ascii="Times New Roman" w:cs="Times New Roman" w:eastAsia="Times New Roman" w:hAnsi="Times New Roman"/>
          <w:sz w:val="18"/>
          <w:szCs w:val="18"/>
          <w:color w:val="auto"/>
        </w:rPr>
        <w:t>I, Pavel Raifeld,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 the Amendment No. 1 to the annual report of Innoviva, Inc.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for the fiscal year ended December 31, 2022 fully complies with the requirements of Section 13(a) or 15(d) of the Securities Exchange Act of 1934, as amended and that information contained in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fairly presents in all material respects the financial condition of Innoviva, Inc. at the end of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results of operations of Innoviva, Inc. for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22" w:lineRule="exact"/>
        <w:rPr>
          <w:sz w:val="20"/>
          <w:szCs w:val="20"/>
          <w:color w:val="auto"/>
        </w:rPr>
      </w:pPr>
    </w:p>
    <w:p>
      <w:pPr>
        <w:ind w:left="20"/>
        <w:spacing w:after="0"/>
        <w:tabs>
          <w:tab w:leader="none" w:pos="5640" w:val="left"/>
          <w:tab w:leader="none" w:pos="7800" w:val="left"/>
        </w:tabs>
        <w:rPr>
          <w:sz w:val="20"/>
          <w:szCs w:val="20"/>
          <w:color w:val="auto"/>
        </w:rPr>
      </w:pPr>
      <w:r>
        <w:rPr>
          <w:rFonts w:ascii="Times New Roman" w:cs="Times New Roman" w:eastAsia="Times New Roman" w:hAnsi="Times New Roman"/>
          <w:sz w:val="18"/>
          <w:szCs w:val="18"/>
          <w:color w:val="auto"/>
        </w:rPr>
        <w:t>Date: March 20,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Pavel Raifeld</w:t>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9" w:lineRule="exact"/>
        <w:rPr>
          <w:sz w:val="20"/>
          <w:szCs w:val="20"/>
          <w:color w:val="auto"/>
        </w:rPr>
      </w:pPr>
    </w:p>
    <w:p>
      <w:pPr>
        <w:ind w:firstLine="749"/>
        <w:spacing w:after="0" w:line="229" w:lineRule="exact"/>
        <w:rPr>
          <w:sz w:val="20"/>
          <w:szCs w:val="20"/>
          <w:color w:val="auto"/>
        </w:rPr>
      </w:pPr>
      <w:r>
        <w:rPr>
          <w:rFonts w:ascii="Times New Roman" w:cs="Times New Roman" w:eastAsia="Times New Roman" w:hAnsi="Times New Roman"/>
          <w:sz w:val="18"/>
          <w:szCs w:val="18"/>
          <w:color w:val="auto"/>
        </w:rPr>
        <w:t>I, Marianne Zhen,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 the Amendment No. 1 to the annual report of Innoviva, Inc.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for the fiscal year ended December 31, 2022 fully complies with the requirements of Section 13(a) or 15(d) of the Securities Exchange Act of 1934, as amended and that information contained in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fairly presents in all material respects the financial condition of Innoviva, Inc. at the end of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results of operations of Innoviva, Inc. for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63" w:lineRule="exact"/>
        <w:rPr>
          <w:sz w:val="20"/>
          <w:szCs w:val="20"/>
          <w:color w:val="auto"/>
        </w:rPr>
      </w:pPr>
    </w:p>
    <w:p>
      <w:pPr>
        <w:ind w:left="20"/>
        <w:spacing w:after="0"/>
        <w:tabs>
          <w:tab w:leader="none" w:pos="5640" w:val="left"/>
          <w:tab w:leader="none" w:pos="7720" w:val="left"/>
        </w:tabs>
        <w:rPr>
          <w:sz w:val="20"/>
          <w:szCs w:val="20"/>
          <w:color w:val="auto"/>
        </w:rPr>
      </w:pPr>
      <w:r>
        <w:rPr>
          <w:rFonts w:ascii="Times New Roman" w:cs="Times New Roman" w:eastAsia="Times New Roman" w:hAnsi="Times New Roman"/>
          <w:sz w:val="18"/>
          <w:szCs w:val="18"/>
          <w:color w:val="auto"/>
        </w:rPr>
        <w:t>Date: March 20,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Marianne Zhen</w:t>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6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Innoviva, Inc. and will be retained by it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9360" w:type="dxa"/>
            <w:vAlign w:val="bottom"/>
            <w:vMerge w:val="restart"/>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ARMATA PHARMACEUTICALS, INC.</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216"/>
        </w:trPr>
        <w:tc>
          <w:tcPr>
            <w:tcW w:w="936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3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INDEX TO AUDITED CONSOLIDATED FINANCIAL STATEMENTS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Armata Pharmaceuticals, Inc.</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(Ernst &amp; Young, LLP; San Diego, CA; PCAOB ID: 42)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8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8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2022 and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8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2022 and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8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and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8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2022 and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93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88"/>
              </w:rPr>
              <w:t>1</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9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Armata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Armata Pharmaceuticals, Inc. (the Company) as of December 31, 2022 and 2021, and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financial statements, the Company has suffered recurring losses and negative cash flows from operations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 and related research and development costs</w:t>
      </w:r>
    </w:p>
    <w:p>
      <w:pPr>
        <w:sectPr>
          <w:pgSz w:w="11900" w:h="16838" w:orient="portrait"/>
          <w:cols w:equalWidth="0" w:num="1">
            <w:col w:w="11220"/>
          </w:cols>
          <w:pgMar w:left="320" w:top="117" w:right="359" w:bottom="1440" w:gutter="0" w:footer="0" w:header="0"/>
        </w:sectPr>
      </w:pPr>
    </w:p>
    <w:p>
      <w:pPr>
        <w:spacing w:after="0" w:line="79"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2022, the Company incurred $35.0 million for research and development costs and as of December 31, 2022, the Company recorded $2.7 million for accrued clinical trial expenses. As described in Note 3 of the consolidated financial statements, the Company records accruals for estimated ongoing research and development costs, comprising payments for work performed by third party contractors, laboratories, participating clinical trial sites, and others. The Company accrues for the estimated ongoing clinical trial site costs based on patient enrollment and progress of the trial.</w:t>
      </w:r>
    </w:p>
    <w:p>
      <w:pPr>
        <w:spacing w:after="0" w:line="183" w:lineRule="exact"/>
        <w:rPr>
          <w:sz w:val="20"/>
          <w:szCs w:val="20"/>
          <w:color w:val="auto"/>
        </w:rPr>
      </w:pPr>
    </w:p>
    <w:p>
      <w:pPr>
        <w:sectPr>
          <w:pgSz w:w="11900" w:h="16838" w:orient="portrait"/>
          <w:cols w:equalWidth="0" w:num="2">
            <w:col w:w="1320" w:space="680"/>
            <w:col w:w="9220"/>
          </w:cols>
          <w:pgMar w:left="320" w:top="117" w:right="359" w:bottom="1440" w:gutter="0" w:footer="0" w:header="0"/>
          <w:type w:val="continuous"/>
        </w:sectPr>
      </w:pPr>
    </w:p>
    <w:p>
      <w:pPr>
        <w:ind w:left="2000" w:right="40"/>
        <w:spacing w:after="0" w:line="261" w:lineRule="auto"/>
        <w:rPr>
          <w:sz w:val="20"/>
          <w:szCs w:val="20"/>
          <w:color w:val="auto"/>
        </w:rPr>
      </w:pPr>
      <w:r>
        <w:rPr>
          <w:rFonts w:ascii="Times New Roman" w:cs="Times New Roman" w:eastAsia="Times New Roman" w:hAnsi="Times New Roman"/>
          <w:sz w:val="18"/>
          <w:szCs w:val="18"/>
          <w:color w:val="auto"/>
        </w:rPr>
        <w:t>Auditing management's accounting for accrued clinical trial expenses and related research and development costs is especially challenging as evaluating the progress or stage of completion of the activities under the Company's research and development agreements is dependent upon a high volume of data from third-party service providers and internal clinical personnel, which is tracked in spreadsheets and other end user computing programs.</w:t>
      </w:r>
    </w:p>
    <w:p>
      <w:pPr>
        <w:sectPr>
          <w:pgSz w:w="11900" w:h="16838" w:orient="portrait"/>
          <w:cols w:equalWidth="0" w:num="1">
            <w:col w:w="11220"/>
          </w:cols>
          <w:pgMar w:left="320" w:top="117" w:right="359" w:bottom="1440" w:gutter="0" w:footer="0" w:header="0"/>
          <w:type w:val="continuous"/>
        </w:sectPr>
      </w:pPr>
    </w:p>
    <w:p>
      <w:pPr>
        <w:spacing w:after="0" w:line="205" w:lineRule="exact"/>
        <w:rPr>
          <w:sz w:val="20"/>
          <w:szCs w:val="20"/>
          <w:color w:val="auto"/>
        </w:rPr>
      </w:pPr>
    </w:p>
    <w:p>
      <w:pPr>
        <w:ind w:left="20"/>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test the completeness of the Company's accrued clinical trial expenses and related research and development costs, we obtained supporting evidence of the research and development activities performed for significant clinical trials. To assess the appropriate measurement of accrued clinical trial expenses and related research and development costs, our audit procedures included, among others, obtaining and inspecting significant agreements and agreement amendments, evaluating the Company's documentation of trial timelines and future projections of trial progress, confirming amounts incurred to-date with third-party service providers, and testing a sample of transactions and comparing the costs against related invoices and contracts. We also tested a sample of subsequent payments to evaluate the completeness of the accrued expenses and compared the results to the current year accrual.</w:t>
      </w:r>
    </w:p>
    <w:p>
      <w:pPr>
        <w:spacing w:after="0" w:line="200" w:lineRule="exact"/>
        <w:rPr>
          <w:sz w:val="20"/>
          <w:szCs w:val="20"/>
          <w:color w:val="auto"/>
        </w:rPr>
      </w:pPr>
    </w:p>
    <w:p>
      <w:pPr>
        <w:sectPr>
          <w:pgSz w:w="11900" w:h="16838" w:orient="portrait"/>
          <w:cols w:equalWidth="0" w:num="2">
            <w:col w:w="1680" w:space="320"/>
            <w:col w:w="9220"/>
          </w:cols>
          <w:pgMar w:left="320" w:top="117" w:right="3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ectPr>
          <w:pgSz w:w="11900" w:h="16838" w:orient="portrait"/>
          <w:cols w:equalWidth="0" w:num="1">
            <w:col w:w="11220"/>
          </w:cols>
          <w:pgMar w:left="320" w:top="117" w:right="35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4" w:name="page15"/>
    <w:bookmarkEnd w:id="14"/>
    <w:p>
      <w:pPr>
        <w:ind w:left="4460"/>
        <w:spacing w:after="0"/>
        <w:rPr>
          <w:sz w:val="20"/>
          <w:szCs w:val="20"/>
          <w:color w:val="auto"/>
        </w:rPr>
      </w:pPr>
      <w:r>
        <w:rPr>
          <w:rFonts w:ascii="Times New Roman" w:cs="Times New Roman" w:eastAsia="Times New Roman" w:hAnsi="Times New Roman"/>
          <w:sz w:val="18"/>
          <w:szCs w:val="18"/>
          <w:b w:val="1"/>
          <w:bCs w:val="1"/>
          <w:color w:val="auto"/>
        </w:rPr>
        <w:t>Armata Pharmaceuticals,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r>
      <w:tr>
        <w:trPr>
          <w:trHeight w:val="145"/>
        </w:trPr>
        <w:tc>
          <w:tcPr>
            <w:tcW w:w="7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69"/>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1"/>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receivable</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2,989,000</w:t>
            </w:r>
          </w:p>
        </w:tc>
        <w:tc>
          <w:tcPr>
            <w:tcW w:w="180" w:type="dxa"/>
            <w:vAlign w:val="bottom"/>
          </w:tcPr>
          <w:p>
            <w:pPr>
              <w:spacing w:after="0"/>
              <w:rPr>
                <w:sz w:val="20"/>
                <w:szCs w:val="20"/>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27,047,000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14,995,000</w:t>
            </w:r>
          </w:p>
        </w:tc>
        <w:tc>
          <w:tcPr>
            <w:tcW w:w="180" w:type="dxa"/>
            <w:vAlign w:val="bottom"/>
          </w:tcPr>
          <w:p>
            <w:pPr>
              <w:spacing w:after="0"/>
              <w:rPr>
                <w:sz w:val="20"/>
                <w:szCs w:val="20"/>
                <w:color w:val="auto"/>
              </w:rPr>
            </w:pPr>
          </w:p>
        </w:tc>
      </w:tr>
      <w:tr>
        <w:trPr>
          <w:trHeight w:val="24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2,220,000</w:t>
            </w:r>
          </w:p>
        </w:tc>
        <w:tc>
          <w:tcPr>
            <w:tcW w:w="180" w:type="dxa"/>
            <w:vAlign w:val="bottom"/>
          </w:tcPr>
          <w:p>
            <w:pPr>
              <w:spacing w:after="0"/>
              <w:rPr>
                <w:sz w:val="20"/>
                <w:szCs w:val="20"/>
                <w:color w:val="auto"/>
              </w:rPr>
            </w:pPr>
          </w:p>
        </w:tc>
      </w:tr>
      <w:tr>
        <w:trPr>
          <w:trHeight w:val="24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43,035,000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10,256,000</w:t>
            </w:r>
          </w:p>
        </w:tc>
        <w:tc>
          <w:tcPr>
            <w:tcW w:w="180" w:type="dxa"/>
            <w:vAlign w:val="bottom"/>
          </w:tcPr>
          <w:p>
            <w:pPr>
              <w:spacing w:after="0"/>
              <w:rPr>
                <w:sz w:val="20"/>
                <w:szCs w:val="20"/>
                <w:color w:val="auto"/>
              </w:rPr>
            </w:pPr>
          </w:p>
        </w:tc>
      </w:tr>
      <w:tr>
        <w:trPr>
          <w:trHeight w:val="24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2,429,000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1,755,000</w:t>
            </w:r>
          </w:p>
        </w:tc>
        <w:tc>
          <w:tcPr>
            <w:tcW w:w="180" w:type="dxa"/>
            <w:vAlign w:val="bottom"/>
          </w:tcPr>
          <w:p>
            <w:pPr>
              <w:spacing w:after="0"/>
              <w:rPr>
                <w:sz w:val="20"/>
                <w:szCs w:val="20"/>
                <w:color w:val="auto"/>
              </w:rPr>
            </w:pPr>
          </w:p>
        </w:tc>
      </w:tr>
      <w:tr>
        <w:trPr>
          <w:trHeight w:val="27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95,834,000</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69,768,000</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26"/>
        </w:trPr>
        <w:tc>
          <w:tcPr>
            <w:tcW w:w="7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1"/>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1,035,000</w:t>
            </w:r>
          </w:p>
        </w:tc>
        <w:tc>
          <w:tcPr>
            <w:tcW w:w="180" w:type="dxa"/>
            <w:vAlign w:val="bottom"/>
          </w:tcPr>
          <w:p>
            <w:pPr>
              <w:spacing w:after="0"/>
              <w:rPr>
                <w:sz w:val="20"/>
                <w:szCs w:val="20"/>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4,814,000</w:t>
            </w:r>
          </w:p>
        </w:tc>
        <w:tc>
          <w:tcPr>
            <w:tcW w:w="180" w:type="dxa"/>
            <w:vAlign w:val="bottom"/>
          </w:tcPr>
          <w:p>
            <w:pPr>
              <w:spacing w:after="0"/>
              <w:rPr>
                <w:sz w:val="20"/>
                <w:szCs w:val="20"/>
                <w:color w:val="auto"/>
              </w:rPr>
            </w:pPr>
          </w:p>
        </w:tc>
      </w:tr>
      <w:tr>
        <w:trPr>
          <w:trHeight w:val="24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3,077,000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3,077,000</w:t>
            </w:r>
          </w:p>
        </w:tc>
        <w:tc>
          <w:tcPr>
            <w:tcW w:w="180" w:type="dxa"/>
            <w:vAlign w:val="bottom"/>
          </w:tcPr>
          <w:p>
            <w:pPr>
              <w:spacing w:after="0"/>
              <w:rPr>
                <w:sz w:val="20"/>
                <w:szCs w:val="20"/>
                <w:color w:val="auto"/>
              </w:rPr>
            </w:pP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44,371,000</w:t>
            </w:r>
          </w:p>
        </w:tc>
        <w:tc>
          <w:tcPr>
            <w:tcW w:w="180" w:type="dxa"/>
            <w:vAlign w:val="bottom"/>
            <w:shd w:val="clear" w:color="auto" w:fill="CCEEFF"/>
          </w:tcPr>
          <w:p>
            <w:pPr>
              <w:spacing w:after="0"/>
              <w:rPr>
                <w:sz w:val="20"/>
                <w:szCs w:val="20"/>
                <w:color w:val="auto"/>
              </w:rPr>
            </w:pPr>
          </w:p>
        </w:tc>
      </w:tr>
      <w:tr>
        <w:trPr>
          <w:trHeight w:val="243"/>
        </w:trPr>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11"/>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$0.01 par value; 217,000,000 shares authorized; 36,144,706 and 27,112,299 shares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180" w:type="dxa"/>
            <w:vAlign w:val="bottom"/>
          </w:tcPr>
          <w:p>
            <w:pPr>
              <w:spacing w:after="0"/>
              <w:rPr>
                <w:sz w:val="18"/>
                <w:szCs w:val="18"/>
                <w:color w:val="auto"/>
              </w:rPr>
            </w:pPr>
          </w:p>
        </w:tc>
      </w:tr>
      <w:tr>
        <w:trPr>
          <w:trHeight w:val="241"/>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at December 31, 2022 and December 31, 2021, respectively</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275,493,000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227,983,000</w:t>
            </w:r>
          </w:p>
        </w:tc>
        <w:tc>
          <w:tcPr>
            <w:tcW w:w="180" w:type="dxa"/>
            <w:vAlign w:val="bottom"/>
            <w:shd w:val="clear" w:color="auto" w:fill="CCEEFF"/>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(239,774,000)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(202,857,000)</w:t>
            </w:r>
          </w:p>
        </w:tc>
        <w:tc>
          <w:tcPr>
            <w:tcW w:w="180" w:type="dxa"/>
            <w:vAlign w:val="bottom"/>
          </w:tcPr>
          <w:p>
            <w:pPr>
              <w:spacing w:after="0"/>
              <w:rPr>
                <w:sz w:val="20"/>
                <w:szCs w:val="20"/>
                <w:color w:val="auto"/>
              </w:rPr>
            </w:pPr>
          </w:p>
        </w:tc>
      </w:tr>
      <w:tr>
        <w:trPr>
          <w:trHeight w:val="23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36,080,000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25,397,000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95,834,000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69,768,000</w:t>
            </w:r>
          </w:p>
        </w:tc>
        <w:tc>
          <w:tcPr>
            <w:tcW w:w="180" w:type="dxa"/>
            <w:vAlign w:val="bottom"/>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-4097020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-4097020</wp:posOffset>
            </wp:positionV>
            <wp:extent cx="1117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-2845435</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-2828290</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-2845435</wp:posOffset>
            </wp:positionV>
            <wp:extent cx="1117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-2828290</wp:posOffset>
            </wp:positionV>
            <wp:extent cx="111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-1893570</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-1893570</wp:posOffset>
            </wp:positionV>
            <wp:extent cx="1117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-187960</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18"/>
          <w:szCs w:val="18"/>
          <w:b w:val="1"/>
          <w:bCs w:val="1"/>
          <w:color w:val="auto"/>
        </w:rPr>
        <w:t>Armata Pharmaceuticals,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7"/>
        </w:trPr>
        <w:tc>
          <w:tcPr>
            <w:tcW w:w="8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84"/>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134"/>
        </w:trPr>
        <w:tc>
          <w:tcPr>
            <w:tcW w:w="8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36"/>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5,508,000</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4,474,000</w:t>
            </w:r>
          </w:p>
        </w:tc>
        <w:tc>
          <w:tcPr>
            <w:tcW w:w="180" w:type="dxa"/>
            <w:vAlign w:val="bottom"/>
            <w:shd w:val="clear" w:color="auto" w:fill="CCEEFF"/>
          </w:tcPr>
          <w:p>
            <w:pPr>
              <w:spacing w:after="0"/>
              <w:rPr>
                <w:sz w:val="21"/>
                <w:szCs w:val="21"/>
                <w:color w:val="auto"/>
              </w:rPr>
            </w:pPr>
          </w:p>
        </w:tc>
      </w:tr>
      <w:tr>
        <w:trPr>
          <w:trHeight w:val="24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35,017,000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20,015,000</w:t>
            </w:r>
          </w:p>
        </w:tc>
        <w:tc>
          <w:tcPr>
            <w:tcW w:w="180" w:type="dxa"/>
            <w:vAlign w:val="bottom"/>
            <w:shd w:val="clear" w:color="auto" w:fill="CCEEFF"/>
          </w:tcPr>
          <w:p>
            <w:pPr>
              <w:spacing w:after="0"/>
              <w:rPr>
                <w:sz w:val="21"/>
                <w:szCs w:val="2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7,437,000</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8,281,000</w:t>
            </w:r>
          </w:p>
        </w:tc>
        <w:tc>
          <w:tcPr>
            <w:tcW w:w="180" w:type="dxa"/>
            <w:vAlign w:val="bottom"/>
          </w:tcPr>
          <w:p>
            <w:pPr>
              <w:spacing w:after="0"/>
              <w:rPr>
                <w:sz w:val="20"/>
                <w:szCs w:val="20"/>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42,454,000</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28,296,000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(36,946,000)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(23,822,000)</w:t>
            </w:r>
          </w:p>
        </w:tc>
        <w:tc>
          <w:tcPr>
            <w:tcW w:w="180" w:type="dxa"/>
            <w:vAlign w:val="bottom"/>
          </w:tcPr>
          <w:p>
            <w:pPr>
              <w:spacing w:after="0"/>
              <w:rPr>
                <w:sz w:val="20"/>
                <w:szCs w:val="20"/>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upon extinguishment of Paycheck Protection Program loan</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726,000</w:t>
            </w:r>
          </w:p>
        </w:tc>
        <w:tc>
          <w:tcPr>
            <w:tcW w:w="180" w:type="dxa"/>
            <w:vAlign w:val="bottom"/>
          </w:tcPr>
          <w:p>
            <w:pPr>
              <w:spacing w:after="0"/>
              <w:rPr>
                <w:sz w:val="20"/>
                <w:szCs w:val="20"/>
                <w:color w:val="auto"/>
              </w:rPr>
            </w:pPr>
          </w:p>
        </w:tc>
      </w:tr>
      <w:tr>
        <w:trPr>
          <w:trHeight w:val="24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21"/>
                <w:szCs w:val="2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80" w:type="dxa"/>
            <w:vAlign w:val="bottom"/>
          </w:tcPr>
          <w:p>
            <w:pPr>
              <w:spacing w:after="0"/>
              <w:rPr>
                <w:sz w:val="20"/>
                <w:szCs w:val="20"/>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667,000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3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(36,917,000)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(23,155,000)</w:t>
            </w:r>
          </w:p>
        </w:tc>
        <w:tc>
          <w:tcPr>
            <w:tcW w:w="180" w:type="dxa"/>
            <w:vAlign w:val="bottom"/>
          </w:tcPr>
          <w:p>
            <w:pPr>
              <w:spacing w:after="0"/>
              <w:rPr>
                <w:sz w:val="20"/>
                <w:szCs w:val="20"/>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80" w:type="dxa"/>
            <w:vAlign w:val="bottom"/>
          </w:tcPr>
          <w:p>
            <w:pPr>
              <w:spacing w:after="0"/>
              <w:rPr>
                <w:sz w:val="20"/>
                <w:szCs w:val="20"/>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34,294,124</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24,104,146</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-1619885</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-1619885</wp:posOffset>
            </wp:positionV>
            <wp:extent cx="111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-676910</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-676910</wp:posOffset>
            </wp:positionV>
            <wp:extent cx="1117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18,688,461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198,372,000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(179,702,000)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18,857,000</w:t>
            </w: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common stock,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8,275,060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26,306,000</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Exercises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restricted stock awards for tax</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stock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322,000</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inducement stock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2,882,000</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(23,155,000)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(23,155,000)</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27,112,299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227,983,000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(202,857,000)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25,397,000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common stock, net of issuance costs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1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44,301,000</w:t>
            </w:r>
          </w:p>
        </w:tc>
        <w:tc>
          <w:tcPr>
            <w:tcW w:w="1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44,391,000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restricted stock awards for tax</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stock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3,105,000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(36,917,000)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(36,917,000)</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36,144,706</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275,493,000</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(239,774,000)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-2108200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-2108200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-2108200</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-2108200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-8255</wp:posOffset>
            </wp:positionV>
            <wp:extent cx="1200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1117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4440"/>
        <w:spacing w:after="0"/>
        <w:rPr>
          <w:sz w:val="20"/>
          <w:szCs w:val="20"/>
          <w:color w:val="auto"/>
        </w:rPr>
      </w:pPr>
      <w:r>
        <w:rPr>
          <w:rFonts w:ascii="Times New Roman" w:cs="Times New Roman" w:eastAsia="Times New Roman" w:hAnsi="Times New Roman"/>
          <w:sz w:val="18"/>
          <w:szCs w:val="18"/>
          <w:b w:val="1"/>
          <w:bCs w:val="1"/>
          <w:color w:val="auto"/>
        </w:rPr>
        <w:t>Armata Pharmaceuticals,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4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(36,917,000)</w:t>
            </w: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upon extinguishment of Paycheck Protection Program loan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3,105,000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accreted interest for deferred consideration for asset acquisition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receivable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3,665,000</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and liability, net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3,643,000</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(8,715,000)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(1,950,000)</w:t>
            </w:r>
          </w:p>
        </w:tc>
      </w:tr>
      <w:tr>
        <w:trPr>
          <w:trHeight w:val="239"/>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(32,481,000)</w:t>
            </w: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(23,575,000)</w:t>
            </w:r>
          </w:p>
        </w:tc>
      </w:tr>
      <w:tr>
        <w:trPr>
          <w:trHeight w:val="23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1"/>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(2,211,000)</w:t>
            </w: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(1,304,000)</w:t>
            </w:r>
          </w:p>
        </w:tc>
      </w:tr>
      <w:tr>
        <w:trPr>
          <w:trHeight w:val="238"/>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(2,211,000)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(1,304,000)</w:t>
            </w:r>
          </w:p>
        </w:tc>
      </w:tr>
      <w:tr>
        <w:trPr>
          <w:trHeight w:val="23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 of deferred consideration for asset acquisition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 net of offering costs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44,391,000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26,319,000</w:t>
            </w: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 and stock options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613,000</w:t>
            </w:r>
          </w:p>
        </w:tc>
      </w:tr>
      <w:tr>
        <w:trPr>
          <w:trHeight w:val="238"/>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44,016,000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25,518,000</w:t>
            </w:r>
          </w:p>
        </w:tc>
      </w:tr>
      <w:tr>
        <w:trPr>
          <w:trHeight w:val="23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9,324,000</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11,488,000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10,849,000</w:t>
            </w:r>
          </w:p>
        </w:tc>
      </w:tr>
      <w:tr>
        <w:trPr>
          <w:trHeight w:val="276"/>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20,812,000</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11,488,000</w:t>
            </w:r>
          </w:p>
        </w:tc>
      </w:tr>
      <w:tr>
        <w:trPr>
          <w:trHeight w:val="22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 obtained by assuming operating lease liabilities</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8,669,000</w:t>
            </w:r>
          </w:p>
        </w:tc>
        <w:tc>
          <w:tcPr>
            <w:tcW w:w="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Paycheck Protection Program loan forgiveness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722,000</w:t>
            </w:r>
          </w:p>
        </w:tc>
      </w:tr>
      <w:tr>
        <w:trPr>
          <w:trHeight w:val="24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offering costs</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441"/>
        </w:trPr>
        <w:tc>
          <w:tcPr>
            <w:tcW w:w="8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14,852,000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10,288,000</w:t>
            </w: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7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20,812,000</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-3599815</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-3282315</wp:posOffset>
            </wp:positionV>
            <wp:extent cx="154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-2339340</wp:posOffset>
            </wp:positionV>
            <wp:extent cx="154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-1696720</wp:posOffset>
            </wp:positionV>
            <wp:extent cx="1543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-1679575</wp:posOffset>
            </wp:positionV>
            <wp:extent cx="1543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46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1460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the Business</w:t>
      </w:r>
    </w:p>
    <w:p>
      <w:pPr>
        <w:spacing w:after="0" w:line="22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Armata Pharmaceuticals, Inc. (“Armata”, and together with its subsidiaries, is referred to herein as, the “Company”) is a clinical-stage biotechnology company focused on the development of precisely targeted bacteriophage therapeutics for the treatment of antibiotic-resistant and difficult-to-treat bacterial infections using its proprietary bacteriophage-based technology. On May 9, 2019, the Company’s predecessor, C3J Therapeutics, Inc. (“C3J”) completed a reverse merger with AmpliPhi Biosciences Corporation, a bacteriophage development stage company (“AmpliPhi”), where Ceres Merger Sub, Inc., a wholly-owned subsidiary of AmpliPhi, merged with and into C3J (the “Merger”). Immediately prior to the Merger, AmpliPhi changed its name to Armata Pharmaceuticals, Inc. Armata’s common stock is traded on the NYSE American exchange under the ticker symbol “ARMP”.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Liquidity</w:t>
      </w:r>
    </w:p>
    <w:p>
      <w:pPr>
        <w:spacing w:after="0" w:line="22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has prepared its consolidated financial statements on a going concern basis, which assumes that the Company will realize its assets and satisfy its liabilities in the normal course of business. However, the Company has incurred net losses since its inception and has negative operating cash flows. These circumstances raise substantial doubt about the Company’s ability to continue as a going concern. The accompanying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spacing w:after="0" w:line="156" w:lineRule="exact"/>
        <w:rPr>
          <w:sz w:val="20"/>
          <w:szCs w:val="20"/>
          <w:color w:val="auto"/>
        </w:rPr>
      </w:pPr>
    </w:p>
    <w:p>
      <w:pPr>
        <w:ind w:right="140" w:firstLine="374"/>
        <w:spacing w:after="0" w:line="222" w:lineRule="exact"/>
        <w:rPr>
          <w:sz w:val="20"/>
          <w:szCs w:val="20"/>
          <w:color w:val="auto"/>
        </w:rPr>
      </w:pPr>
      <w:r>
        <w:rPr>
          <w:rFonts w:ascii="Times New Roman" w:cs="Times New Roman" w:eastAsia="Times New Roman" w:hAnsi="Times New Roman"/>
          <w:sz w:val="18"/>
          <w:szCs w:val="18"/>
          <w:color w:val="auto"/>
        </w:rPr>
        <w:t>On January 10, 2023, the Company entered into, as borrower, a secured convertible credit and security agreement (the “Credit Agreement”) with Innoviva Strategic Opportunities LLC,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Innoviva, Inc. (Nasdaq: INVA) (collectively, "Innoviva"), a principal stockholder of the Company. The Credit Agreement provides for a secured term loan facility in an aggregate amount of $30 million (the “Loan”) at an interest rate of</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8.0% per annum, and has a maturity date of January 10, 2024. Repayment of the Loan is required to be guaranteed by the Company’s domestic subsidiaries and foreign material subsidiaries, and the Loan is secured by substantially all of the assets of the Company and the subsidiary guarantors.</w:t>
      </w:r>
    </w:p>
    <w:p>
      <w:pPr>
        <w:spacing w:after="0" w:line="14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Credit Agreement provides that if a Qualified Financing (as defined in the Credit Agreement) occurs, the outstanding principal amount of, and all accrued and unpaid interest on, the Loan shall be converted into shares of the Company’s common stock, par value $0.01 per share (“Common Stock”) at a price per share equal to a 15.0% discount to the lowest price per share for Common Stock paid by investors in a Qualified Financing (which price paid by investors in a Qualified Financing may not be less than a15.0% discount to the closing price of Common Stock immediately prior to the consummation of a Qualified Financing event). The Credit Agreement also requires the Company to file a registration statement (the “Registration Statement”) for the resale of all securities issued to the lender in connection with any conversion under the Credit Agreement. After the Registration Statement has been declared effective by the U.S. Securities and Exchange Commission, any outstanding Loan amount, including all accrued and unpaid interest thereon, may be converted at the lender’s option, into shares of Common Stock at a price per share equal to the greater of book value or market value per share of Common Stock on the date immediately preceding the effective date of the Credit Agreement, which is $1.52 (as may be appropriately adjusted for any stock split, combination or similar act).</w:t>
      </w:r>
    </w:p>
    <w:p>
      <w:pPr>
        <w:spacing w:after="0" w:line="15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On February 9, 2022, the Company entered into a securities purchase agreement (“February 2022 Securities Purchase Agreement”) to sell its common stock and warrants to Innoviva. The gross proceeds to the Company from the transaction were $45 million.</w:t>
      </w:r>
    </w:p>
    <w:p>
      <w:pPr>
        <w:spacing w:after="0" w:line="135"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Pursuant and subject to the terms and conditions of the securities purchase agreement and related agreements, Innoviva agreed to purchase 9,000,000 newly issued shares of our common stock, at a price of $5.00 per share, and warrants to purchase up to 4,500,000 additional shares of our common stock, with an exercise price of $5.00 per share. The stock purchases were completed in two tranches. On February 9, 2022, Innoviva purchased 3,614,792 shares of common stock and warrants to purchase 1,807,396 shares of common stock for an aggregate purchase price of approximately $18.1 million. On March 31, 2022, upon our stockholders voting in favor of the transaction, Innoviva purchased approximately 5,385,208 shares of common stock and warrants to purchase approximately 2,692,604 shares of common stock for an aggregate purchase price of $26.9 million.</w:t>
      </w:r>
    </w:p>
    <w:p>
      <w:pPr>
        <w:spacing w:after="0" w:line="147"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On October 28, 2021, the Company entered into a securities purchase agreement (the “October 2021 Securities Purchase Agreement”) with the Cystic Fibrosis Foundation (“CFF”), a Delaware corporation, the Company’s partner for its lead Phase 1b/2a clinical development program, and Innoviva Strategic Opportunities LLC, a wholly-owned subsidiary of Innoviva, Inc. (Nasdaq: INVA) (collectively, “Innoviva”) for the private placement of newly issued shares of common stock, par value $0.01 per share, of the Company (“Common Stock”). Pursuant to the October 2021 Securities Purchase Agreement, the Company issued and sold 909,091 shares to CFF and 1,212,122 shares to Innoviva, each at a per share price of $3.30 (the “October 2021 Private Placements”). The Company received aggregate gross proceeds from the October 2021 Private Placements of approximately $7.0 million, before deducting transaction expenses.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On January 26, 2021, the Company entered into a securities purchase agreement (the “January 2021 Securities Purchase Agreement”) with Innoviva, pursuant to which the Company issued and sold to Innoviva, in a private placement, up to 6,153,847 newly issued shares of Common Stock, and warrants (the “Common Warrants”) to purchase up to 6,153,847 shares of Common Stock, with an exercise price per share of $3.25 (the “January 2021 Private Placement”).</w:t>
      </w:r>
    </w:p>
    <w:p>
      <w:pPr>
        <w:spacing w:after="0" w:line="13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Management plans to raise additional capital through equity offerings, debt financings, or other capital sources, including potential collaborations, licenses and other similar arrangements. While management believes this plan to raise additional funds will alleviate the conditions that raise substantial doubt, these plans are not entirely within its control and cannot be assessed as being probable of occurring. The Company’s ability to raise additional capital may be adversely impacted by potential worsening global economic conditions and the recent disruptions to, and volatility in, financial markets in the United States and worldwide. The Company may not be able to secure additional financing in a timely manner or on favorable terms, if at all. Furthermore, if the Company issues equity securities to raise additional funds, its existing stockholders may experience dilution, and the new equity securities may have rights, preferences and privileges senior to those of the Company’s existing stockholders. If the Company raises additional funds through collaboration, licensing or other similar arrangements, it may be necessary to relinquish valuable rights to its potential products on terms that are not favorable to the Company. If the Company is unable to raise capital when needed or on attractive terms, it would be forced to delay, reduce or eliminate its research and development programs or other operations. If any of these events occur, the Company’s ability to achieve the development and commercialization goals would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including C3J, Biocontrol Limited and AmpliPhi Australia Pty Ltd. All significant intercompany accounts and transactions have been eliminated.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management to make estimates and assumptions that affect the amounts reported in its consolidated financial statements and accompanying notes. On an ongoing basis, management evaluates these estimates and judgments, which are based on historical and anticipated results and trends and on various other assumptions that management believes to be reasonable under the circumstances. By their nature, estimates are subject to an inherent degree of uncertainty and, as such, actual results may differ from management’s estimates.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and cash equivalents consist primarily of deposits with commercial banks and financial institutions.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Fair Value of Financial Instruments</w:t>
      </w:r>
    </w:p>
    <w:p>
      <w:pPr>
        <w:spacing w:after="0" w:line="229" w:lineRule="exact"/>
        <w:rPr>
          <w:sz w:val="20"/>
          <w:szCs w:val="20"/>
          <w:color w:val="auto"/>
        </w:rPr>
      </w:pPr>
    </w:p>
    <w:p>
      <w:pPr>
        <w:jc w:val="both"/>
        <w:ind w:right="200" w:firstLine="419"/>
        <w:spacing w:after="0" w:line="266" w:lineRule="auto"/>
        <w:rPr>
          <w:sz w:val="20"/>
          <w:szCs w:val="20"/>
          <w:color w:val="auto"/>
        </w:rPr>
      </w:pPr>
      <w:r>
        <w:rPr>
          <w:rFonts w:ascii="Times New Roman" w:cs="Times New Roman" w:eastAsia="Times New Roman" w:hAnsi="Times New Roman"/>
          <w:sz w:val="18"/>
          <w:szCs w:val="18"/>
          <w:color w:val="auto"/>
        </w:rPr>
        <w:t>Financial instruments include cash equivalents, prepaid expenses and other assets, restricted cash, accounts payable, accrued expenses and deferred asset acquisition consideration. The carrying amount of cash equivalents prepaid expenses and other assets, restricted cash, accounts payable and accrued expenses are generally considered to be representative of their respective fair values because of the short-term nature of those instruments.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their estimated useful lives using the straight-line method. Maintenance and repairs that do not improve or extend the lives of the respective assets are expensed to operations as incurred. Upon disposal, retirement, or sale of an asset, the related cost and accumulated depreciation is removed from the accounts and any resulting gain or loss is included in the results of operations. Estimated useful lives for property and equipment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70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600" w:type="dxa"/>
            <w:vAlign w:val="bottom"/>
            <w:shd w:val="clear" w:color="auto" w:fill="CCEEFF"/>
          </w:tcPr>
          <w:p>
            <w:pPr>
              <w:spacing w:after="0"/>
              <w:rPr>
                <w:sz w:val="20"/>
                <w:szCs w:val="20"/>
                <w:color w:val="auto"/>
              </w:rPr>
            </w:pP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600" w:type="dxa"/>
            <w:vAlign w:val="bottom"/>
          </w:tcPr>
          <w:p>
            <w:pPr>
              <w:spacing w:after="0"/>
              <w:rPr>
                <w:sz w:val="20"/>
                <w:szCs w:val="20"/>
                <w:color w:val="auto"/>
              </w:rPr>
            </w:pP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0" w:type="dxa"/>
            <w:vAlign w:val="bottom"/>
            <w:shd w:val="clear" w:color="auto" w:fill="CCEEFF"/>
          </w:tcPr>
          <w:p>
            <w:pPr>
              <w:spacing w:after="0"/>
              <w:rPr>
                <w:sz w:val="21"/>
                <w:szCs w:val="21"/>
                <w:color w:val="auto"/>
              </w:rPr>
            </w:pP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432"/>
        </w:trPr>
        <w:tc>
          <w:tcPr>
            <w:tcW w:w="3940" w:type="dxa"/>
            <w:vAlign w:val="bottom"/>
          </w:tcPr>
          <w:p>
            <w:pPr>
              <w:spacing w:after="0"/>
              <w:rPr>
                <w:sz w:val="24"/>
                <w:szCs w:val="24"/>
                <w:color w:val="auto"/>
              </w:rPr>
            </w:pPr>
          </w:p>
        </w:tc>
        <w:tc>
          <w:tcPr>
            <w:tcW w:w="36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9</w:t>
            </w:r>
          </w:p>
        </w:tc>
        <w:tc>
          <w:tcPr>
            <w:tcW w:w="370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135" w:lineRule="exact"/>
        <w:rPr>
          <w:sz w:val="20"/>
          <w:szCs w:val="20"/>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assets or liabilities that require recurring or nonrecurring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for impairment when events or changes in circumstances indicate the carrying value of the assets may not be recoverable. Recoverability is measured by comparison of the book values of the assets to future net undiscounted cash flows that the assets or the asset groups are expected to generate. If such assets are considered to be impaired, the impairment to be recognized is measured by the amount by which the book value of the assets exceed their fair value, which is measured based on the estimated discounted future net cash flows arising from the assets or asset groups. No impairment losses on long-lived assets have been recorded through December 31, 2022 or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 (“IPR&amp;D”) and Acquired IPR&amp;D</w:t>
      </w:r>
    </w:p>
    <w:p>
      <w:pPr>
        <w:spacing w:after="0" w:line="18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IPR&amp;D assets are intangible assets with indefinite lives and are not subject to amortization. The Company’s IPR&amp;D assets represent capitalized in-process bacteriophage development programs for S. aureus infections that the Company acquired through a business combination. Such assets are initially measured at their acquisition-date fair values and are subject to impairment testing at least annually until completion or abandonment of research and development efforts associated with the projects. Upon successful completion of each project, the Company makes a determination as to the then remaining useful life of the intangible asset and begins amortization.</w:t>
      </w:r>
    </w:p>
    <w:p>
      <w:pPr>
        <w:spacing w:after="0" w:line="143"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Company tests IPR&amp;D assets for impairment as of December 31 of each year or more frequently if indicators of impairment are present. The authoritative accounting guidance provides an optional qualitative assessment for any indicators that indefinite-lived intangible assets are impaired. If it is determined that it is more likely than not that the indefinite-lived intangible assets, including IPR&amp;D, are impaired, the fair value of the indefinite-lived intangible assets is compared with the carrying amount and impairment is recorded for any excess of the carrying amount over the fair value of the indefinite-lived intangible assets.</w:t>
      </w:r>
    </w:p>
    <w:p>
      <w:pPr>
        <w:spacing w:after="0" w:line="15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If and when a quantitative analysis of IPR&amp;D assets is required based on the result of the optional qualitative assessment, the estimated fair value of IPR&amp;D assets is calculated based on the income approach, which includes discounting expected future net cash flows associated with the assets to a net present value. The fair value measurements utilized to perform the impairment analysis are categorized within Level 3 of the fair value hierarchy. Significant management judgment is required in the forecast of future operating results that are used in the Company’s impairment analysis. The estimates the Company uses are consistent with the plans and estimates that it uses to manage its business. Significant assumptions utilized in the Company’s income approach model include the discount rate, timing of clinical studies and regulatory approvals, the probability of success of its research and development programs, timing of commercialization of these programs, forecasted sales, gross margin, selling, general and administrative expenses, capital expenditures, as well as anticipated growth rates.</w:t>
      </w:r>
    </w:p>
    <w:p>
      <w:pPr>
        <w:spacing w:after="0" w:line="151"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7"/>
          <w:szCs w:val="17"/>
          <w:color w:val="auto"/>
        </w:rPr>
        <w:t>During the fourth quarter ended December 31, 2022, the Company performed the annual evaluation of its IPR&amp;D assets for impairment. The Company considered the development timelines for its S. aureus development program and noted no qualitative factors that would indicate potential impairment of its IPR&amp;D asset. The Company also performed a quantitative analysis for impairment analysis and based on this analysis, the fair value of this bacteriophage program was greater than its carrying value as of December 31, 2022. Consequently, no impairment was noted for the IPR&amp;D asset.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Goodwill, which has an indefinite useful life, represents the excess of purchase consideration over the fair value of net assets acquired in an acquisition. Goodwill is not subject to amortization and is required to be tested for impairment at least on an annual basis. The Company tests goodwill for impairment as of December 31 of each year. The Company determines whether goodwill may be impaired by comparing the carrying value of the single reporting unit, including goodwill, to the fair value of the reporting unit. If the fair value is less than the carrying amount, a more detailed analysis is performed to determine whether goodwill is impaired. The impairment loss, if any, is measured as the excess of the carrying value of the goodwill over the implied fair value of the goodwill and is recorded in the Company’s consolidated statements of operations. There was no impairment of goodwill during the year ended December 31, 2022 or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Payments made prior to the receipt of goods or services to be used in research and development are capitalized until the goods or services are received.</w:t>
      </w:r>
    </w:p>
    <w:p>
      <w:pPr>
        <w:spacing w:after="0" w:line="14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 Judgments and estimates are made in determining the accrued balances at the end of the reporting period.</w:t>
      </w:r>
    </w:p>
    <w:p>
      <w:pPr>
        <w:spacing w:after="0" w:line="143"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partially offset by the benefit of tax incentive payments for qualified research and development expenditures from the Australian tax authority (“AU Tax Rebates”). The Company does not record AU Tax Rebates until payment is received due to the uncertainty of receipt.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Compensation expense related to stock options granted to employees and non-employees is measured at the grant date based on the estimated fair value of the award and is recognized on the accelerated attribution method over the requisite service period. Forfeitures are recognized as a reduction of stock-based compensation expense as they occur. Stock-based compensation expense for an award with a performance condition is recognized when the achievement of such performance condition is determined to be probable. If the outcome of such performance condition is not determined to be probable or is not met, no compensation expense is recognized and any previously recognized compensation expense is reversed.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Translations and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functional currency of the Company and its wholly owned subsidiaries is the U.S. dollar.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 performance obligations. The Company then recognizes as revenue the amount of the transaction price that is allocated to the respective performance obligation when (or as) the performance obligation is satisfied. During the years ended December 31, 2022 and 2021, the Company did not recognize revenue or deferred revenue from contracts with customers.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Grants and Awards</w:t>
      </w:r>
    </w:p>
    <w:p>
      <w:pPr>
        <w:spacing w:after="0" w:line="227"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applying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Armata has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the extent the grant or award is within the scope of ASC 808, the Company recognizes the award upon achievement of certain milestones as credits to research and development expenses. For grant and awards outside the scope of ASC 808, the Company applies ASC 606 or International Accounting Standards No. 20, Accounting for Government Grants and Disclosure of Government Assistance, by analogy, and revenue is recognized when the Company incurs expenses related to the grants for the amount the Company is entitled to under the provisions of the contract.</w:t>
      </w:r>
    </w:p>
    <w:p>
      <w:pPr>
        <w:spacing w:after="0" w:line="144"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Armata also considers the guidance in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(“ASC 730”), which requires an assessment, at the inception of the grant or award, of whether the agreement is a liability. If Armata is obligated to repay funds received regardless of the outcome of the related research and development activities, then Armata is required to estimate and recognize that liability. Alternatively, if Armata is not required to repay the funds, then payments received are recorded as revenue or contra-expense as the expenses are incurred.</w:t>
      </w:r>
    </w:p>
    <w:p>
      <w:pPr>
        <w:spacing w:after="0" w:line="155"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Deferred grant or award liability represents award funds received or receivable for which the allowable expenses have not yet been incurred as of the balance sheet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The Company currently only has operating leases. The Company recognizes a right-of-use operating lease asset and associated short- and long-term operating lease liability on its consolidated balance sheet for operating leases greater than one year. The right-of-use assets represent the Company’s right to use an underlying asset for the lease term and the lease liabilities represent the Company’s obligation to make lease payments arising from the lease arrangements. Right-of-use operating lease assets and lease liabilities are recognized based on the present value of the future minimum lease payments, including noncash lease payments, the Company will pay over the lease term. The Company determines the lease term at the inception of each lease, which includes renewal options only if the Company concludes that such options are reasonably certain to be exercised.</w:t>
      </w:r>
    </w:p>
    <w:p>
      <w:pPr>
        <w:spacing w:after="0" w:line="14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As the Company’s leases do not provide an interest rate implicit in the lease, the Company uses its incremental borrowing rate, based on the information available on the date of adoption of Topic 842, Leases, as of the lease inception date or at the date of remeasurement in determining the present value of future payments. The Company recognizes rent expense for the minimum lease payments on a straight-line basis over the expected term of the leases. The Company recognizes period expenses, such as common area maintenance expenses, in the period such expenses are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Deferred income taxes are recognized for the future tax consequences of temporary differences using enacted statutory tax rates expected to apply to taxable income in the years in which those temporary differences are expected to be recovered or settled. Temporary differences include the differences between the financial statement carrying amounts and the tax basis of existing assets and liabilities and net operating loss and tax credit carryforwards. The effect on deferred taxes of a change in tax rates is recognized in income (expense) in the period that includes the enactment date. The Company evaluates the likelihood that deferred tax assets will be recovered from future taxable income. Valuation allowances are provided if, based upon the weight of available evidence, it is more likely than not that some or all of the deferred tax assets will not be realized.</w:t>
      </w:r>
    </w:p>
    <w:p>
      <w:pPr>
        <w:spacing w:after="0" w:line="148"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Net earnings or loss per share (“EPS”) is calculated in accordance with the applicable accounting guidance provided in ASC 260, Earnings per Share. Basic EPS is calculated by dividing net income or loss by the weighted-average number of common shares outstanding. Diluted net loss per share is computed in accordance with the treasury stock method and reflects the potential dilution that would occur if securities or other contracts to issue common stock were exercised or converted to common stock. The calculation of diluted loss per share requires that, to the extent the average market price of the underlying shares for the reporting period exceeds the exercise price of the warrants, and the presumed exercise of such securities are dilutive to net loss per share for the period, an adjustment to net loss available to common stockholders used in the calculation is required to remove the change in fair value of the warrants from the numerator for the period. Likewise, an adjustment to the denominator is required to reflect the related dilutive shares, if any, under the treasury stock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amends the impairment model by requiring entities to use a forward-looking approach based on expected losses to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for calendar-year smaller reporting public entities in the first quarter of 2023. The Company is currently evaluating the impact of this ASU and does not expect that adoption of this standard will have a material impact on its consolidated financial statements or related disclosures.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 (Subtopic 470-20) and Derivatives and Hedging</w:t>
      </w:r>
    </w:p>
    <w:p>
      <w:pPr>
        <w:spacing w:after="0" w:line="41" w:lineRule="exact"/>
        <w:rPr>
          <w:sz w:val="20"/>
          <w:szCs w:val="20"/>
          <w:color w:val="auto"/>
        </w:rPr>
      </w:pPr>
    </w:p>
    <w:p>
      <w:pPr>
        <w:ind w:firstLine="8"/>
        <w:spacing w:after="0" w:line="252" w:lineRule="auto"/>
        <w:tabs>
          <w:tab w:leader="none" w:pos="10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(“ASU 2020-06”). ASU​ 2020-06 eliminates the beneficial conversion and cash conversion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for convertible instruments. It also amends the accounting for certain contracts in an entity’s own equity that are currently accounted for as derivatives because of specific settlement provisions. In addition, ASU 2020-06 modifies how particular convertible instruments and certain contracts that may be settled in cash or shares impact the diluted EPS computation. The amendments in ASU 2020-06 are effective for the Company as of January 1, 2024. Early adoption is permitted. The Company is currently evaluating the impact of ASU 2020-06 on its financial statements and does not expect the adoption of this ASU to have a material impact on the Company’s consolidated financial statements.</w:t>
      </w:r>
    </w:p>
    <w:p>
      <w:pPr>
        <w:spacing w:after="0" w:line="145" w:lineRule="exact"/>
        <w:rPr>
          <w:rFonts w:ascii="Times New Roman" w:cs="Times New Roman" w:eastAsia="Times New Roman" w:hAnsi="Times New Roman"/>
          <w:sz w:val="18"/>
          <w:szCs w:val="18"/>
          <w:i w:val="1"/>
          <w:iCs w:val="1"/>
          <w:color w:val="auto"/>
        </w:rPr>
      </w:pPr>
    </w:p>
    <w:p>
      <w:pPr>
        <w:ind w:left="240" w:hanging="187"/>
        <w:spacing w:after="0"/>
        <w:tabs>
          <w:tab w:leader="none" w:pos="2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following outstanding securities at December 31, 2022 and 2021 have been excluded from the computation of diluted weighted average shares outstanding for the years ended December 31, 2022 and 2021, as they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5"/>
        </w:trPr>
        <w:tc>
          <w:tcPr>
            <w:tcW w:w="8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3,352,803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2,409,682</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99,666</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124,018</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20,549,338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16,647,219</w:t>
            </w:r>
          </w:p>
        </w:tc>
      </w:tr>
      <w:tr>
        <w:trPr>
          <w:trHeight w:val="27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24,031,807</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19,210,919</w:t>
            </w:r>
          </w:p>
        </w:tc>
      </w:tr>
      <w:tr>
        <w:trPr>
          <w:trHeight w:val="42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8"/>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5"/>
        </w:trPr>
        <w:tc>
          <w:tcPr>
            <w:tcW w:w="8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10,007,000</w:t>
            </w:r>
          </w:p>
        </w:tc>
        <w:tc>
          <w:tcPr>
            <w:tcW w:w="200" w:type="dxa"/>
            <w:vAlign w:val="bottom"/>
            <w:gridSpan w:val="2"/>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7,754,000</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817,000</w:t>
            </w:r>
          </w:p>
        </w:tc>
      </w:tr>
      <w:tr>
        <w:trPr>
          <w:trHeight w:val="24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449,000</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451,000</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3,423,000</w:t>
            </w:r>
          </w:p>
        </w:tc>
      </w:tr>
      <w:tr>
        <w:trPr>
          <w:trHeight w:val="24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14,720,000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12,445,000</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(10,225,000)</w:t>
            </w:r>
          </w:p>
        </w:tc>
      </w:tr>
      <w:tr>
        <w:trPr>
          <w:trHeight w:val="27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3,617,000</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-2339340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-2322195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totaled $0.9 million and $1.2 million the years ended December 31, 2022 and 2021, respectively.</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1,678,000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1,138,000</w:t>
            </w: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2,650,000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529,000</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1,706,000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603,000</w:t>
            </w: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9"/>
              </w:rPr>
              <w:t>6,034,000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2,270,000</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income taxes consisted of the following components: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4"/>
        </w:trPr>
        <w:tc>
          <w:tcPr>
            <w:tcW w:w="8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4"/>
        </w:trPr>
        <w:tc>
          <w:tcPr>
            <w:tcW w:w="8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1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(32,228,000)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(21,714,000)</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(4,689,000)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(1,441,000)</w:t>
            </w: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(36,917,000)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-1859280</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1289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28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any current or deferred tax expense on its US and Foreign pre-tax losses for the years ended December 31, 2022 and 2021.</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differences between the Company’s effective tax rate and the U.S. federal statutory tax rate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8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r>
      <w:tr>
        <w:trPr>
          <w:trHeight w:val="23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tax effects of:</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w:t>
            </w:r>
          </w:p>
        </w:tc>
        <w:tc>
          <w:tcPr>
            <w:tcW w:w="260" w:type="dxa"/>
            <w:vAlign w:val="bottom"/>
            <w:shd w:val="clear" w:color="auto" w:fill="CCEEFF"/>
          </w:tcPr>
          <w:p>
            <w:pPr>
              <w:spacing w:after="0"/>
              <w:rPr>
                <w:sz w:val="21"/>
                <w:szCs w:val="21"/>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0"/>
                <w:szCs w:val="20"/>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shd w:val="clear" w:color="auto" w:fill="CCEEFF"/>
          </w:tcPr>
          <w:p>
            <w:pPr>
              <w:spacing w:after="0"/>
              <w:rPr>
                <w:sz w:val="21"/>
                <w:szCs w:val="21"/>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top w:val="single" w:sz="8" w:color="auto"/>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1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5"/>
        </w:trPr>
        <w:tc>
          <w:tcPr>
            <w:tcW w:w="8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184"/>
        </w:trPr>
        <w:tc>
          <w:tcPr>
            <w:tcW w:w="8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134"/>
        </w:trPr>
        <w:tc>
          <w:tcPr>
            <w:tcW w:w="8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22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8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19"/>
                <w:szCs w:val="19"/>
                <w:color w:val="auto"/>
              </w:rPr>
            </w:pP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42,525,000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36,405,000</w:t>
            </w:r>
          </w:p>
        </w:tc>
      </w:tr>
      <w:tr>
        <w:trPr>
          <w:trHeight w:val="23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16,306,000</w:t>
            </w:r>
          </w:p>
        </w:tc>
      </w:tr>
      <w:tr>
        <w:trPr>
          <w:trHeight w:val="225"/>
        </w:trPr>
        <w:tc>
          <w:tcPr>
            <w:tcW w:w="8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19"/>
                <w:szCs w:val="19"/>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3,192,000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2,467,000</w:t>
            </w:r>
          </w:p>
        </w:tc>
      </w:tr>
      <w:tr>
        <w:trPr>
          <w:trHeight w:val="225"/>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1,301,000</w:t>
            </w:r>
          </w:p>
        </w:tc>
      </w:tr>
      <w:tr>
        <w:trPr>
          <w:trHeight w:val="225"/>
        </w:trPr>
        <w:tc>
          <w:tcPr>
            <w:tcW w:w="8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19"/>
                <w:szCs w:val="19"/>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accounting</w:t>
            </w: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13,660,000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10,631,000</w:t>
            </w:r>
          </w:p>
        </w:tc>
      </w:tr>
      <w:tr>
        <w:trPr>
          <w:trHeight w:val="225"/>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1,174,000</w:t>
            </w:r>
          </w:p>
        </w:tc>
      </w:tr>
      <w:tr>
        <w:trPr>
          <w:trHeight w:val="225"/>
        </w:trPr>
        <w:tc>
          <w:tcPr>
            <w:tcW w:w="8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spacing w:after="0"/>
              <w:rPr>
                <w:sz w:val="19"/>
                <w:szCs w:val="19"/>
                <w:color w:val="auto"/>
              </w:rPr>
            </w:pPr>
          </w:p>
        </w:tc>
      </w:tr>
      <w:tr>
        <w:trPr>
          <w:trHeight w:val="22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80,861,000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68,284,000</w:t>
            </w:r>
          </w:p>
        </w:tc>
      </w:tr>
      <w:tr>
        <w:trPr>
          <w:trHeight w:val="225"/>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(68,818,000)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(58,251,000)</w:t>
            </w:r>
          </w:p>
        </w:tc>
      </w:tr>
      <w:tr>
        <w:trPr>
          <w:trHeight w:val="225"/>
        </w:trPr>
        <w:tc>
          <w:tcPr>
            <w:tcW w:w="8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spacing w:after="0"/>
              <w:rPr>
                <w:sz w:val="19"/>
                <w:szCs w:val="19"/>
                <w:color w:val="auto"/>
              </w:rPr>
            </w:pPr>
          </w:p>
        </w:tc>
      </w:tr>
      <w:tr>
        <w:trPr>
          <w:trHeight w:val="22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12,043,000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10,033,000</w:t>
            </w:r>
          </w:p>
        </w:tc>
      </w:tr>
      <w:tr>
        <w:trPr>
          <w:trHeight w:val="225"/>
        </w:trPr>
        <w:tc>
          <w:tcPr>
            <w:tcW w:w="8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452"/>
        </w:trPr>
        <w:tc>
          <w:tcPr>
            <w:tcW w:w="8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5"/>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(10,033,000)</w:t>
            </w:r>
          </w:p>
        </w:tc>
      </w:tr>
      <w:tr>
        <w:trPr>
          <w:trHeight w:val="225"/>
        </w:trPr>
        <w:tc>
          <w:tcPr>
            <w:tcW w:w="8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19"/>
                <w:szCs w:val="19"/>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-4605655</wp:posOffset>
            </wp:positionV>
            <wp:extent cx="196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-4588510</wp:posOffset>
            </wp:positionV>
            <wp:extent cx="196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-4605655</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-4588510</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-1922780</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-1330960</wp:posOffset>
            </wp:positionV>
            <wp:extent cx="128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-127635</wp:posOffset>
            </wp:positionV>
            <wp:extent cx="18599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54"/>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(15,120,000)</w:t>
            </w: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(13,110,000)</w:t>
            </w:r>
          </w:p>
        </w:tc>
      </w:tr>
      <w:tr>
        <w:trPr>
          <w:trHeight w:val="218"/>
        </w:trPr>
        <w:tc>
          <w:tcPr>
            <w:tcW w:w="8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(3,077,000)</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(3,077,000)</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6341745</wp:posOffset>
            </wp:positionH>
            <wp:positionV relativeFrom="page">
              <wp:posOffset>88900</wp:posOffset>
            </wp:positionV>
            <wp:extent cx="154305" cy="3213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154305" cy="321310"/>
                    </a:xfrm>
                    <a:prstGeom prst="rect">
                      <a:avLst/>
                    </a:prstGeom>
                    <a:noFill/>
                  </pic:spPr>
                </pic:pic>
              </a:graphicData>
            </a:graphic>
          </wp:anchor>
        </w:drawing>
      </w:r>
    </w:p>
    <w:p>
      <w:pPr>
        <w:spacing w:after="0" w:line="241"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Company’s net operating loss carryforwards at December 31, 2022 are $145 million and $116 million for federal and state income tax purposes, respectively. Federal and state net operating loss carryforwards are available to offset future taxable income, if any, and will begin to expire in 2026 to 2028, respectively. The federal net operating loss carryforwards generated in tax years 2018 and forward will carryforward indefinitely and be available to offset up to 80% of future taxable income each year, subject to certain modifications made by the Coronavirus Aid, Relief, and Economic Security Act (CARES Act) enacted in 2020.</w:t>
      </w:r>
    </w:p>
    <w:p>
      <w:pPr>
        <w:spacing w:after="0" w:line="14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ability of the Company to utilize net operating loss carryforwards to reduce future domestic taxable income and domestic income tax is subject to various limitations under the Internal Revenue Code. The utilization of such carryforwards may be limited upon the occurrence of certain ownership changes during any three-year period resulting in an aggregate change of more than 50% in beneficial ownership. The Company previously determined an ownership change occurred on May 9, 2019 as a result of a business combination. The resulting limitation significantly reduced the Company’s ability to utilize its net operating loss and credit carryovers before the expire. Accordingly, in 2019 the Company reduced its deferred tax assets for the net operating loss and credit carryforwards that were expected to expire unused with a corresponding offset to the valuation allowance recorded against such assets. Future ownership changes under Section 382 may also limit the Company’s ability to fully utilize any remaining tax benefits.</w:t>
      </w:r>
    </w:p>
    <w:p>
      <w:pPr>
        <w:spacing w:after="0" w:line="162"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Company has generated federal and state income tax losses in all years since its inception. Accordingly, management has determined that significant negative evidence precludes the Company from recording a net deferred tax asset for financial statement purposes as it is more likely than not that its deferred tax assets will not be realized.</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state of California and certain foreign jurisdictions. As of December 31, 2022, the Company is no longer subject to U.S. federal income tax examinations for tax years ended on or before December 31, 2018 or to California state income tax examinations for tax years ended on or before December 31, 2017. However, to the extent allowed by law, the tax authorities may have the right to examine prior periods where net operating losses or tax credits were generated and carried forward, and make adjustments up to the amount of the net operating loss or credit carryforward.</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did not have a liability for unrecognized tax benefits at December 31, 2022 and 2021.</w:t>
      </w:r>
    </w:p>
    <w:p>
      <w:pPr>
        <w:spacing w:after="0" w:line="198"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The Company’s policy is to classify interest and penalties on uncertain tax positions as a component of tax expense. As of December 31, 2022, the Company has no accrued interest or penalties related to uncertain tax 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Paycheck Protection Program Loan</w:t>
      </w:r>
    </w:p>
    <w:p>
      <w:pPr>
        <w:spacing w:after="0" w:line="22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April 2020, the Company received loan proceeds of $717,000 (“PPP Loan”) under the Paycheck Protection Program (“PPP”). The PPP, established as part of the Coronavirus Aid, Relief and Economic Security Act, provides for loans to qualifying businesses for amounts up to 2.5 times the average monthly payroll expenses of the qualifying business, calculated as provided under the PPP. The PPP Loan was unsecured, evidenced by a promissory note (the “Note”) given by the Company as borrower through its bank, serving as the lender. The interest rate on the Note was 1.0% per annum.</w:t>
      </w:r>
    </w:p>
    <w:p>
      <w:pPr>
        <w:spacing w:after="0" w:line="139" w:lineRule="exact"/>
        <w:rPr>
          <w:sz w:val="20"/>
          <w:szCs w:val="20"/>
          <w:color w:val="auto"/>
        </w:rPr>
      </w:pPr>
    </w:p>
    <w:p>
      <w:pPr>
        <w:ind w:right="460" w:firstLine="374"/>
        <w:spacing w:after="0" w:line="266" w:lineRule="auto"/>
        <w:rPr>
          <w:sz w:val="20"/>
          <w:szCs w:val="20"/>
          <w:color w:val="auto"/>
        </w:rPr>
      </w:pPr>
      <w:r>
        <w:rPr>
          <w:rFonts w:ascii="Times New Roman" w:cs="Times New Roman" w:eastAsia="Times New Roman" w:hAnsi="Times New Roman"/>
          <w:sz w:val="18"/>
          <w:szCs w:val="18"/>
          <w:color w:val="auto"/>
        </w:rPr>
        <w:t>In July 2021, the Company received notification of forgiveness of the full loan amount and associated interest from the Small Business Administration. The Company recorded a gain of $0.7 million from the PPP loan extinguishment in the statement of operations during the year ended December 31,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Company leases office and research and development space under a non-cancelable operating lease in Marina del Rey, CA. The lease commenced January 1, 2012 and in April 2020, the Company amended the lease (“2020 Lease Amendment”) which, among other things, extended the lease term through December 31, 2031. Base annual rent for calendar year 2022, the first year under the Lease Amendment extended term, was approximately $1.9 million, and base rent increases by 3% annually and will be $2.5 million by the end of the amended term. In addition, the Company received a six-month rent abatement in 2020. The Company did not use an allowance for tenant improvements of $0.8 million during 2021, which was used to offset rent payments as prescribed by the 2020 Lease Amendment starting in 2022. In accordance with authoritative guidance, the Company remeasured the lease liability in April 2020 to be $11.7 million and related right of use asset of $11.0 million as of the Lease Amendment date with an incremental borrowing rate of 12.89%.</w:t>
      </w:r>
    </w:p>
    <w:p>
      <w:pPr>
        <w:spacing w:after="0" w:line="151" w:lineRule="exact"/>
        <w:rPr>
          <w:sz w:val="20"/>
          <w:szCs w:val="20"/>
          <w:color w:val="auto"/>
        </w:rPr>
      </w:pPr>
    </w:p>
    <w:p>
      <w:pPr>
        <w:ind w:right="180" w:firstLine="374"/>
        <w:spacing w:after="0" w:line="312" w:lineRule="auto"/>
        <w:rPr>
          <w:sz w:val="20"/>
          <w:szCs w:val="20"/>
          <w:color w:val="auto"/>
        </w:rPr>
      </w:pPr>
      <w:r>
        <w:rPr>
          <w:rFonts w:ascii="Times New Roman" w:cs="Times New Roman" w:eastAsia="Times New Roman" w:hAnsi="Times New Roman"/>
          <w:sz w:val="17"/>
          <w:szCs w:val="17"/>
          <w:color w:val="auto"/>
        </w:rPr>
        <w:t>Concurrent with the Company’s execution of the 2020 Lease Amendment, an irrevocable letter of credit in the amount of $1.2 million was delivered to the landlord. Starting on February 1, 2022, and each year thereafter the letter of credit will be reduced by 20% of the then outstanding amount.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 October 28, 2021, the Company entered into a lease for office and research and development space under a non-cancellable lease in Los Angeles, CA (the “2021 Lease”). The 2021 Lease payment start date is May 1, 2022 and the total lease term is for 16 years and runs through 2038. Monthly rent for 2022 and 2023 will be fully or partially abated while the lessor and the Company complete planned tenant improvements to the facility. Base monthly rent will be approximately $0.25 million in 2024. The Company is entitled to receive an allowance for tenant improvements of up to $7.3 million, and the Company is responsible for construction costs over such allowance. Out of pocket expenses to be incurred by the Company are considered noncash lease payments, and included in the lease liability and right-of-use asset when the amount can be reasonably estimated. As of November 16, 2022, the Company finalized the budget to complete the construction of the 2021 Lease. Accordingly, the Company remeasured the lease liability and related right-of-use asset as of November 30, 2022, using an incremental borrowing rate of 11.8%. The remeasured lease liability of the 2021 Lease as of November 16, 2022 was $37.0 million, and the related right of use asset was $33.8 million.</w:t>
      </w:r>
    </w:p>
    <w:p>
      <w:pPr>
        <w:spacing w:after="0" w:line="148"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2021 Lease, in 2022 the Company delivered an irrevocable standby letter of credit in the total amount of $5.0 million to the landlord.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minimum annual lease payments under the Company’s noncancelable operating leases as of December 31, 2022,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50"/>
        </w:trPr>
        <w:tc>
          <w:tcPr>
            <w:tcW w:w="9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4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4,512,000</w:t>
            </w:r>
          </w:p>
        </w:tc>
      </w:tr>
      <w:tr>
        <w:trPr>
          <w:trHeight w:val="24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5,293,000</w:t>
            </w:r>
          </w:p>
        </w:tc>
      </w:tr>
      <w:tr>
        <w:trPr>
          <w:trHeight w:val="24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49,395,000</w:t>
            </w:r>
          </w:p>
        </w:tc>
      </w:tr>
      <w:tr>
        <w:trPr>
          <w:trHeight w:val="241"/>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72,695,000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estimated short-term variable lease payments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14,954,000</w:t>
            </w:r>
          </w:p>
        </w:tc>
      </w:tr>
      <w:tr>
        <w:trPr>
          <w:trHeight w:val="24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(38,834,000)</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48,815,000</w:t>
            </w:r>
          </w:p>
        </w:tc>
      </w:tr>
      <w:tr>
        <w:trPr>
          <w:trHeight w:val="237"/>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(17,011,000)</w:t>
            </w: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31,804,000</w:t>
            </w:r>
          </w:p>
        </w:tc>
      </w:tr>
      <w:tr>
        <w:trPr>
          <w:trHeight w:val="20"/>
        </w:trPr>
        <w:tc>
          <w:tcPr>
            <w:tcW w:w="9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340" w:firstLine="374"/>
        <w:spacing w:after="0" w:line="266" w:lineRule="auto"/>
        <w:rPr>
          <w:sz w:val="20"/>
          <w:szCs w:val="20"/>
          <w:color w:val="auto"/>
        </w:rPr>
      </w:pPr>
      <w:r>
        <w:rPr>
          <w:rFonts w:ascii="Times New Roman" w:cs="Times New Roman" w:eastAsia="Times New Roman" w:hAnsi="Times New Roman"/>
          <w:sz w:val="18"/>
          <w:szCs w:val="18"/>
          <w:color w:val="auto"/>
        </w:rPr>
        <w:t>Rent expense was $6.3 million and $2.7 million for the years ended December 31, 2022 and 2021, respectively. Total cash payments for operating leases as included in the consolidated statements of cash flows during the year ended December 31, 2022 and 2021 was $2.7 million and $2.2 million, respectively.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involved in disputes, including litigation, relating to claims arising out of operations in the normal course of business. Any of these claims could subject the Company to costly legal expenses and, while management generally believes that there is adequate insurance to cover many different types of liabilities, the Company’s insurance carriers may deny coverage or policy limits may be inadequate to fully satisfy any damage awards or settlements. If this were to happen, the payment of any such awards could have a material adverse effect on the consolidated results of operations and financial position. Additionally, any such claims, whether or not successful, could damage the Company’s reputation and business. The Company is currently not a party to any legal proceedings, the adverse outcome of which, in management’s opinion, individually or in the aggregate, would have a material adverse effect on its consolidated results of operations or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Synthetic Genomics Asset Acquisition</w:t>
      </w:r>
    </w:p>
    <w:p>
      <w:pPr>
        <w:spacing w:after="0" w:line="22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On February 28, 2018, C3J completed an acquisition of certain synthetic phage assets (the “synthetic phage assets”) from Synthetic Genomics, Inc. (“SGI”). On December 20, 2018, the synthetic phage assets purchase agreement was amended, such that the purchase consideration consisted of (i) closing consideration of $1.0 million paid on February 28, 2018, (ii) cash payments of $1.0 million on January 31, 2019, $1.0 million on January 31, 2020, and $2.0 million on January 31, 2021, (iii) an issuance of that number of shares of C3J’s common stock equal to ten percent of C3J’s fully-diluted capitalization, excluding options and restricted stock awards, immediately prior to the closing of a business combination, and (iv) potential milestone payments of up to $39.5 million related to the development and relevant regulatory approval of products utilizing bacteriophage from the synthetic phage assets acquired from SGI.</w:t>
      </w:r>
    </w:p>
    <w:p>
      <w:pPr>
        <w:spacing w:after="0" w:line="148"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present value of the time-based payment obligations was included in the Company’s balance sheet, with interest accreted to the maturity date. The Company paid the last installment of the time-based payment obligation in the amount of $2.0 million during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right="360"/>
        <w:spacing w:after="0" w:line="282" w:lineRule="auto"/>
        <w:rPr>
          <w:sz w:val="20"/>
          <w:szCs w:val="20"/>
          <w:color w:val="auto"/>
        </w:rPr>
      </w:pPr>
      <w:r>
        <w:rPr>
          <w:rFonts w:ascii="Times New Roman" w:cs="Times New Roman" w:eastAsia="Times New Roman" w:hAnsi="Times New Roman"/>
          <w:sz w:val="18"/>
          <w:szCs w:val="18"/>
          <w:color w:val="auto"/>
        </w:rPr>
        <w:t>the year ended December 31, 2021. For the year ended December 31, 2022 and 2021, the Company recognized $0 and $0.1 million of interest expense related to the time-based payment obligations,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Research Collaboration Arrangement</w:t>
      </w:r>
    </w:p>
    <w:p>
      <w:pPr>
        <w:spacing w:after="0" w:line="229"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Synthetic Phage Asset Acquisition discussed in Note 12, the Company was assigned a research collaboration agreement (“Research and Option Agreement”) with Merck.</w:t>
      </w:r>
    </w:p>
    <w:p>
      <w:pPr>
        <w:spacing w:after="0" w:line="13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May 2019, the Research and Option Agreement was amended and extended for four years. During the research term, the Company will be entitled to milestone payments tied to the achievement of product development milestone events in the amount of $1.5 million. The collaboration agreement also provides for the initiation of a second research program should Merck exercise that option during the initial research term and pay the option fee of $1.5 million. To date, Merck has not exercised its license option nor has the Company reached any milestones or earned any revenue under the Research and Option Agreement. Merck has the right to terminate the agreement at any time with 90 days’ notice. Each party to the Research and Option Agreement is responsible for its costs and expenses in connection with the research program.</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December 14, 2022, the Company received a termination notice for the Research and Option Agreement effective March 14, 2023.</w:t>
      </w:r>
    </w:p>
    <w:p>
      <w:pPr>
        <w:spacing w:after="0" w:line="181" w:lineRule="exact"/>
        <w:rPr>
          <w:sz w:val="20"/>
          <w:szCs w:val="20"/>
          <w:color w:val="auto"/>
        </w:rPr>
      </w:pPr>
    </w:p>
    <w:p>
      <w:pPr>
        <w:ind w:right="9440" w:firstLine="8"/>
        <w:spacing w:after="0" w:line="503" w:lineRule="auto"/>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 and Awards MTEC Grant</w:t>
      </w:r>
    </w:p>
    <w:p>
      <w:pPr>
        <w:ind w:firstLine="374"/>
        <w:spacing w:after="0" w:line="254" w:lineRule="auto"/>
        <w:rPr>
          <w:sz w:val="20"/>
          <w:szCs w:val="20"/>
          <w:color w:val="auto"/>
        </w:rPr>
      </w:pPr>
      <w:r>
        <w:rPr>
          <w:rFonts w:ascii="Times New Roman" w:cs="Times New Roman" w:eastAsia="Times New Roman" w:hAnsi="Times New Roman"/>
          <w:sz w:val="18"/>
          <w:szCs w:val="18"/>
          <w:color w:val="auto"/>
        </w:rPr>
        <w:t>On June 15, 2020, the Company entered into an Research Project Award agreement (the “MTEC Agreement”) with the Medical Technology Enterprise Consortium (“MTEC”), pursuant to which the Company will receive a $15.0 million grant and entered into a three-year program administered by the U.S. Departement of Defence (the “DoD”) through MTEC with funding from the Defense Health Agency and Joint Warfighter Medical Research Program. On September 29, 2022, the MTEC Agreement was modified to increase the total award by $1.3 million to $16.3 million and extend the term into the third quarter of 2024. The MTEC funds are to partially fund a Phase 1b/2, randomized, double-blind, placebo-controlled, dose escalation clinical study of Armata's therapeutic phage-based candidate, AP-SA02, for the treatment of complicated Staphylococcus aureus bacteremia infections. The MTEC Agreement specifies that the grant will be paid to the Company over the term of the award through a cost reimbursable model, based on agreed upon cost share percentages, and the grant money received is not refundable to MTEC.</w:t>
      </w:r>
    </w:p>
    <w:p>
      <w:pPr>
        <w:spacing w:after="0" w:line="165"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Upon license or commercialization of intellectual property developed with the funding from the MTEC Agreement, additional fees will be due to MTEC. The Company will elect whether to (a) pay a fixed royalty amount, which is subject to a cap based upon total funding received, or (b) pay an additional assessment fee, which would also be subject to a cap based upon a percentage of total funding received.</w:t>
      </w:r>
    </w:p>
    <w:p>
      <w:pPr>
        <w:spacing w:after="0" w:line="13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MTEC Agreement will be effective through October 30, 2024. The MTEC Agreement may be terminated in whole or in part, 30 calendar days following the written notice from the Company to MTEC. In addition, MTEC has the right to terminate the MTEC Agreement upon material breach by the Company.</w:t>
      </w:r>
    </w:p>
    <w:p>
      <w:pPr>
        <w:spacing w:after="0" w:line="135"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MTEC Agreement is not in the scope of ASC 808 or ASC 606. Applying ASC 606 by analogy the Company recognizes proceeds received under the MTEC Agreement as grant revenue on the statement of operations when related costs are incurred. The Company recognized $5.5 million and$4.5 million in grant revenue from the MTEC Agreement during the year ended December 31, 2022 and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CFF Therapeutics Development Award</w:t>
      </w:r>
    </w:p>
    <w:p>
      <w:pPr>
        <w:spacing w:after="0" w:line="229"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On March 13, 2020, the Company entered into an award agreement (the “Agreement”) with CFF, pursuant to which it received a Therapeutics Development Award of up to $5.0 million (the “Award”). The Award will be used to fund a portion of the Company’s Phase 1b/2a clinical trial of the P. aeruginosa phage candidate, AP-PA02, as a treatment for P. aeruginosa airway infections in people with cystic fibrosis (“CF”).</w:t>
      </w:r>
    </w:p>
    <w:p>
      <w:pPr>
        <w:spacing w:after="0" w:line="135"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first payment under the Agreement, in the amount of $1.0 million, became due upon signing the Agreement and was received in April 2020. The remainder of the Award will be paid to the Company incrementally in installments upon the achievement of certain milestones related to the development program and progress of the Phase 1b/2a clinical trial of AP-PA02, as set forth in the Agreement.</w:t>
      </w:r>
    </w:p>
    <w:p>
      <w:pPr>
        <w:spacing w:after="0" w:line="135" w:lineRule="exact"/>
        <w:rPr>
          <w:sz w:val="20"/>
          <w:szCs w:val="20"/>
          <w:color w:val="auto"/>
        </w:rPr>
      </w:pPr>
    </w:p>
    <w:p>
      <w:pPr>
        <w:ind w:right="540" w:firstLine="374"/>
        <w:spacing w:after="0" w:line="266" w:lineRule="auto"/>
        <w:rPr>
          <w:sz w:val="20"/>
          <w:szCs w:val="20"/>
          <w:color w:val="auto"/>
        </w:rPr>
      </w:pPr>
      <w:r>
        <w:rPr>
          <w:rFonts w:ascii="Times New Roman" w:cs="Times New Roman" w:eastAsia="Times New Roman" w:hAnsi="Times New Roman"/>
          <w:sz w:val="18"/>
          <w:szCs w:val="18"/>
          <w:color w:val="auto"/>
        </w:rPr>
        <w:t>If the Company ceases to use commercially reasonable efforts directed to the development of AP-PA02, or any other Product (as defined in the Agreement), for a period of 360 days (an “Interruption”) and fails to resume the development of the Product after receiving from CFF notice of an Interruption, then the Company must either repay the amount of the Award actually received by the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right="140"/>
        <w:spacing w:after="0" w:line="261" w:lineRule="auto"/>
        <w:rPr>
          <w:sz w:val="20"/>
          <w:szCs w:val="20"/>
          <w:color w:val="auto"/>
        </w:rPr>
      </w:pPr>
      <w:r>
        <w:rPr>
          <w:rFonts w:ascii="Times New Roman" w:cs="Times New Roman" w:eastAsia="Times New Roman" w:hAnsi="Times New Roman"/>
          <w:sz w:val="18"/>
          <w:szCs w:val="18"/>
          <w:color w:val="auto"/>
        </w:rPr>
        <w:t>Company, plus interest, or grant to CFF (1) an exclusive (even as to the Company), worldwide, perpetual, sublicensable license under technology developed under the Agreement that covers the Product for use in treating infections in CF patients (the “CF Field”), and (2) a non-exclusive, worldwide, perpetual, sublicensable license under certain background intellectual property covering the Product, to the extent necessary to commercialize the Product in the CF Field.</w:t>
      </w:r>
    </w:p>
    <w:p>
      <w:pPr>
        <w:spacing w:after="0" w:line="13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Upon commercialization by the Company of any Product, the Company will owe a fixed royalty amount to CFF, which is to be paid in installments determined, in part, based on commercial sales volumes of the Product. The Company will be obligated to make an additional fixed royalty payment upon achieving specified sales milestones. The Company may also be obligated to make a payment to CFF if the Company transfers, sells or licenses the Product in the CF Field, or if the Company enters into a change of control transaction.</w:t>
      </w:r>
    </w:p>
    <w:p>
      <w:pPr>
        <w:spacing w:after="0" w:line="153"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term of the Agreement commenced on March 10, 2020 and expires on the earlier of the date on which the Company has paid CFF all of the fixed royalty payments set forth therein, the effective date of any license granted to CFF following an Interruption, or upon earlier termination of the Agreement. Either CFF or the Company may terminate the Agreement for cause, which includes the Company’s material failure to achieve certain development milestones. The Company’s payment obligations survive the termination of the Agreement.</w:t>
      </w:r>
    </w:p>
    <w:p>
      <w:pPr>
        <w:spacing w:after="0" w:line="13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concluded that the CFF Award is in the scope of ASC 808. Accordingly, as discussed in Note 3, the Company recognizes the award upon achievement of certain milestones as credits to research and development expenses. During year ended December 31, 2022 and 2021, the Company recognized $1.0 million and $2.8 million as credits to research and development expenses related to the CFF Award, respectively. In addition, the Company concluded under the guidance in ASC 730 that it does not have an obligation to repay funds received once related research and development expenses are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02"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one class of shares designated as “Common Stock”. The number of shares of common stock authorized to be issued is 217,000,000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February 9, 2022, the Company entered into the February 2022 Securities Purchase Agreement to sell its common stock and warrants to Innoviva.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proceeds to the Company from the transaction were $45 million, before deducting estimated offering expenses.</w:t>
      </w:r>
    </w:p>
    <w:p>
      <w:pPr>
        <w:spacing w:after="0" w:line="166"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Pursuant and subject to the terms and conditions of the securities purchase agreement and related agreements, Innoviva agreed to purchase 9,000,000 newly issued shares of our common stock, at a price of $5.00 per share, and warrants to purchase up to 4,500,000 additional shares of our common stock, with an exercise price of $5.00 per share. The stock purchases were completed in two tranches. On February 9, 2022, Innoviva purchased 3,614,792 shares of common stock and warrants to purchase 1,807,396 shares of common stock for an aggregate purchase price of approximately $18.1 million. On March 31, 2022, upon our stockholders voting in favor of the transaction, Innoviva purchased approximately 5,385,208 shares of common stock and warrants to purchase approximately 2,692,604 shares of common stock for an aggregate purchase price of $26.9 million.</w:t>
      </w:r>
    </w:p>
    <w:p>
      <w:pPr>
        <w:spacing w:after="0" w:line="16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On October 28, 2021, the Company entered into a securities purchase agreement (the “October 2021 Securities Purchase Agreement”) with the Cystic Fibrosis Foundation (“CFF”), a Delaware corporation, the Company’s partner for its lead Phase 1b/2a clinical development program, and Innoviva Strategic Opportunities LLC, a wholly-owned subsidiary of Innoviva, Inc. (Nasdaq: INVA) (collectively, “Innoviva”) for the private placement of newly issued shares of common stock, par value $0.01 per share, of the Company (“Common Stock”). Pursuant to the October 2021 Securities Purchase Agreement, the Company issued and sold 909,091 shares to CFF and 1,212,122 shares to Innoviva, each at a per share price of $3.30 (the “October 2021 Private Placements”). The Company received aggregate gross proceeds from the October 2021 Private Placements of approximately $7.0 million, before deducting transaction expenses.</w:t>
      </w:r>
    </w:p>
    <w:p>
      <w:pPr>
        <w:spacing w:after="0" w:line="148"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On January 26, 2021, the Company entered into a securities purchase agreement (the “January 2021 Securities Purchase Agreement”) with Innoviva, pursuant to which the Company issued and sold to Innoviva, in a private placement, up to 6,153,847 newly issued shares of Common Stock, and warrants (the “Common Warrants”) to purchase up to 6,153,847 shares of Common Stock, with an exercise price per share of $3.25 (the “January 2021 Private Placement”).</w:t>
      </w:r>
    </w:p>
    <w:p>
      <w:pPr>
        <w:spacing w:after="0" w:line="13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warrants expire five years from the issuance date. The Company reviewed the authoritative accounting guidance and determined that the warrants meet the criteria to be accounted for as permanent equity.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December 31, 2022, outstanding warrants to purchase shares of common stock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Shares Underlying Outstanding Warrants</w:t>
            </w:r>
          </w:p>
        </w:tc>
        <w:tc>
          <w:tcPr>
            <w:tcW w:w="5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380" w:type="dxa"/>
            <w:vAlign w:val="bottom"/>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7"/>
        </w:trPr>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1,183,491</w:t>
            </w: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3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rPr>
              <w:t>October 16, 2023</w:t>
            </w:r>
          </w:p>
        </w:tc>
      </w:tr>
      <w:tr>
        <w:trPr>
          <w:trHeight w:val="239"/>
        </w:trPr>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993,139</w:t>
            </w: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3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February 11, 2025</w:t>
            </w:r>
          </w:p>
        </w:tc>
      </w:tr>
      <w:tr>
        <w:trPr>
          <w:trHeight w:val="247"/>
        </w:trPr>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7,717,661</w:t>
            </w:r>
          </w:p>
        </w:tc>
        <w:tc>
          <w:tcPr>
            <w:tcW w:w="11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3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9"/>
        </w:trPr>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1,867,912</w:t>
            </w: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3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47"/>
        </w:trPr>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4,285,935</w:t>
            </w:r>
          </w:p>
        </w:tc>
        <w:tc>
          <w:tcPr>
            <w:tcW w:w="11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3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March 16, 2026</w:t>
            </w:r>
          </w:p>
        </w:tc>
      </w:tr>
      <w:tr>
        <w:trPr>
          <w:trHeight w:val="239"/>
        </w:trPr>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1,807,396</w:t>
            </w: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3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February 8, 2027</w:t>
            </w:r>
          </w:p>
        </w:tc>
      </w:tr>
      <w:tr>
        <w:trPr>
          <w:trHeight w:val="247"/>
        </w:trPr>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2,692,604</w:t>
            </w:r>
          </w:p>
        </w:tc>
        <w:tc>
          <w:tcPr>
            <w:tcW w:w="11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3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March 30, 2027</w:t>
            </w:r>
          </w:p>
        </w:tc>
      </w:tr>
      <w:tr>
        <w:trPr>
          <w:trHeight w:val="239"/>
        </w:trPr>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33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None</w:t>
            </w:r>
          </w:p>
        </w:tc>
      </w:tr>
      <w:tr>
        <w:trPr>
          <w:trHeight w:val="277"/>
        </w:trPr>
        <w:tc>
          <w:tcPr>
            <w:tcW w:w="4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20,549,338</w:t>
            </w:r>
          </w:p>
        </w:tc>
        <w:tc>
          <w:tcPr>
            <w:tcW w:w="5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560" w:type="dxa"/>
            <w:vAlign w:val="bottom"/>
            <w:tcBorders>
              <w:bottom w:val="single" w:sz="8" w:color="CCEEFF"/>
            </w:tcBorders>
            <w:shd w:val="clear" w:color="auto" w:fill="CCEEFF"/>
          </w:tcPr>
          <w:p>
            <w:pPr>
              <w:spacing w:after="0"/>
              <w:rPr>
                <w:sz w:val="24"/>
                <w:szCs w:val="24"/>
                <w:color w:val="auto"/>
              </w:rPr>
            </w:pPr>
          </w:p>
        </w:tc>
        <w:tc>
          <w:tcPr>
            <w:tcW w:w="33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-25400</wp:posOffset>
            </wp:positionV>
            <wp:extent cx="317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-8255</wp:posOffset>
            </wp:positionV>
            <wp:extent cx="317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 Plans</w:t>
      </w:r>
    </w:p>
    <w:p>
      <w:pPr>
        <w:spacing w:after="0" w:line="22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Company maintains a 2016 Equity Incentive Plan (the “2016 Plan”), which provides for the issuance of incentive share awards in the form of non-qualified and incentive stock options, stock appreciation rights, restricted stock awards, restricted stock unit awards and performance-based stock awards. The awards may be granted by the Company’s Board of Directors to its employees, directors and officers and to consultants, agents, advisors and independent contractors who provide services to the Company or to a subsidiary of the Company. The exercise price for stock options must not be less than the fair market value of the underlying shares on the date of grant. Stock options expire no later than ten years from the date of grant and generally vest and typically become exercisable over a four-year period following the date of grant. Under the 2016 Plan, the number of shares authorized for issuance automatically increases annually beginning January 1, 2017 and through January 1, 2026.</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 has issued restricted stock awards (“RSAs”) under certain legacy option plan that generally vest over two to four years based on service conditions. The RSAs began vesting in May 2019, and no additional awards will be issued under this legacy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with performance and service conditions using the Black-Scholes valuation model. Compensation expense related to stock options granted is measured at the grant date based on the estimated fair value of the award and is recognized on the accelerated attribution method over the requisite service period.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assumptions used in the Black-Scholes model for options granted during the year ended December 31, 2022 and 2021 are presented below:</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2140" w:type="dxa"/>
            <w:vAlign w:val="bottom"/>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spacing w:after="0"/>
              <w:rPr>
                <w:sz w:val="15"/>
                <w:szCs w:val="15"/>
                <w:color w:val="auto"/>
              </w:rPr>
            </w:pPr>
          </w:p>
        </w:tc>
      </w:tr>
      <w:tr>
        <w:trPr>
          <w:trHeight w:val="187"/>
        </w:trPr>
        <w:tc>
          <w:tcPr>
            <w:tcW w:w="7660" w:type="dxa"/>
            <w:vAlign w:val="bottom"/>
          </w:tcPr>
          <w:p>
            <w:pPr>
              <w:spacing w:after="0"/>
              <w:rPr>
                <w:sz w:val="16"/>
                <w:szCs w:val="16"/>
                <w:color w:val="auto"/>
              </w:rPr>
            </w:pPr>
          </w:p>
        </w:tc>
        <w:tc>
          <w:tcPr>
            <w:tcW w:w="21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- 4.20%</w:t>
            </w:r>
          </w:p>
        </w:tc>
        <w:tc>
          <w:tcPr>
            <w:tcW w:w="1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 - 1.29%</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 - 85.86%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 - 93.37%</w:t>
            </w:r>
          </w:p>
        </w:tc>
      </w:tr>
      <w:tr>
        <w:trPr>
          <w:trHeight w:val="24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5.50 - 7.00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5.50 - 7.00</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6"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risk-free interest rate is based on the U.S. Treasury yield for a period consistent with the expected term of the option in effect at the time of the grant. Expected volatility is based on an analysis of the historical volatility of Armata and peer companies’ common stock. The expected term represents the period that the Company expects its stock options to be outstanding. The expected term assumption is estimated using the simplified method set forth in the U.S. Securities and Exchange Commission Staff Accounting Bulletin 110, which is the mid-point between the option vesting date and the expiration date. For stock options granted to parties other than employees or directors, the Company elects, on a grant by grant basis, to use the expected term or the contractual term of the option award. The Company has never declared or paid dividends on its common stock and has no plans to do so in the foreseeable future. Forfeitures are recognized as a reduction of stock-based compensation expense as they occur.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The tables below summarize the total stock-based compensation expense included in the Company’s consolidated statements of operations for the periods presented: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1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237"/>
        </w:trPr>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220" w:type="dxa"/>
            <w:vAlign w:val="bottom"/>
            <w:shd w:val="clear" w:color="auto" w:fill="CCEEFF"/>
          </w:tcPr>
          <w:p>
            <w:pPr>
              <w:spacing w:after="0"/>
              <w:rPr>
                <w:sz w:val="21"/>
                <w:szCs w:val="21"/>
                <w:color w:val="auto"/>
              </w:rPr>
            </w:pPr>
          </w:p>
        </w:tc>
      </w:tr>
      <w:tr>
        <w:trPr>
          <w:trHeight w:val="23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1,311,000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1,377,000</w:t>
            </w:r>
          </w:p>
        </w:tc>
        <w:tc>
          <w:tcPr>
            <w:tcW w:w="220" w:type="dxa"/>
            <w:vAlign w:val="bottom"/>
          </w:tcPr>
          <w:p>
            <w:pPr>
              <w:spacing w:after="0"/>
              <w:rPr>
                <w:sz w:val="20"/>
                <w:szCs w:val="20"/>
                <w:color w:val="auto"/>
              </w:rPr>
            </w:pPr>
          </w:p>
        </w:tc>
      </w:tr>
      <w:tr>
        <w:trPr>
          <w:trHeight w:val="277"/>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3,105,000</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2,882,000</w:t>
            </w:r>
          </w:p>
        </w:tc>
        <w:tc>
          <w:tcPr>
            <w:tcW w:w="220" w:type="dxa"/>
            <w:vAlign w:val="bottom"/>
            <w:tcBorders>
              <w:bottom w:val="single" w:sz="8" w:color="CCEEFF"/>
            </w:tcBorders>
            <w:shd w:val="clear" w:color="auto" w:fill="CCEEFF"/>
          </w:tcPr>
          <w:p>
            <w:pPr>
              <w:spacing w:after="0"/>
              <w:rPr>
                <w:sz w:val="24"/>
                <w:szCs w:val="24"/>
                <w:color w:val="auto"/>
              </w:rPr>
            </w:pPr>
          </w:p>
        </w:tc>
      </w:tr>
      <w:tr>
        <w:trPr>
          <w:trHeight w:val="633"/>
        </w:trPr>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Stock option transactions during the year ended December 31, 2022 are presented below:</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21"/>
        </w:trPr>
        <w:tc>
          <w:tcPr>
            <w:tcW w:w="6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58"/>
        </w:trPr>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6"/>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5"/>
                <w:szCs w:val="15"/>
                <w:color w:val="auto"/>
              </w:rPr>
            </w:pP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6"/>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5"/>
                <w:szCs w:val="15"/>
                <w:color w:val="auto"/>
              </w:rPr>
            </w:pP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5"/>
                <w:szCs w:val="15"/>
                <w:color w:val="auto"/>
              </w:rPr>
            </w:pP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6"/>
                <w:szCs w:val="16"/>
                <w:color w:val="auto"/>
              </w:rPr>
            </w:pP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45"/>
        </w:trPr>
        <w:tc>
          <w:tcPr>
            <w:tcW w:w="696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2,409,682</w:t>
            </w: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960" w:type="dxa"/>
            <w:vAlign w:val="bottom"/>
            <w:gridSpan w:val="2"/>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96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0" w:type="dxa"/>
            <w:vAlign w:val="bottom"/>
            <w:gridSpan w:val="2"/>
          </w:tcPr>
          <w:p>
            <w:pPr>
              <w:spacing w:after="0"/>
              <w:rPr>
                <w:sz w:val="19"/>
                <w:szCs w:val="19"/>
                <w:color w:val="auto"/>
              </w:rPr>
            </w:pPr>
          </w:p>
        </w:tc>
      </w:tr>
      <w:tr>
        <w:trPr>
          <w:trHeight w:val="24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(273,092)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1"/>
        </w:trPr>
        <w:tc>
          <w:tcPr>
            <w:tcW w:w="69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3,352,803</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3,352,803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6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1,438,123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398"/>
        </w:trPr>
        <w:tc>
          <w:tcPr>
            <w:tcW w:w="11240" w:type="dxa"/>
            <w:vAlign w:val="bottom"/>
            <w:gridSpan w:val="20"/>
          </w:tcPr>
          <w:p>
            <w:pPr>
              <w:ind w:left="380"/>
              <w:spacing w:after="0"/>
              <w:rPr>
                <w:sz w:val="20"/>
                <w:szCs w:val="20"/>
                <w:color w:val="auto"/>
              </w:rPr>
            </w:pPr>
            <w:r>
              <w:rPr>
                <w:rFonts w:ascii="Times New Roman" w:cs="Times New Roman" w:eastAsia="Times New Roman" w:hAnsi="Times New Roman"/>
                <w:sz w:val="18"/>
                <w:szCs w:val="18"/>
                <w:color w:val="auto"/>
              </w:rPr>
              <w:t>Restricted stock award transactions under the Assumed 2016 Plan and restricted stock unit award transactions during the year ended December 31,</w:t>
            </w:r>
          </w:p>
        </w:tc>
      </w:tr>
      <w:tr>
        <w:trPr>
          <w:trHeight w:val="234"/>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are presented below:</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80"/>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8"/>
              </w:rPr>
              <w:t>Weighted Avg</w:t>
            </w:r>
          </w:p>
        </w:tc>
      </w:tr>
      <w:tr>
        <w:trPr>
          <w:trHeight w:val="175"/>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154,018</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3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3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Issued as Common Stock</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(23,983)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77"/>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129,666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-4876800</wp:posOffset>
            </wp:positionV>
            <wp:extent cx="146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-4859655</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-4876800</wp:posOffset>
            </wp:positionV>
            <wp:extent cx="1454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-4859655</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-2082165</wp:posOffset>
            </wp:positionV>
            <wp:extent cx="1289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-2065020</wp:posOffset>
            </wp:positionV>
            <wp:extent cx="1289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-2082165</wp:posOffset>
            </wp:positionV>
            <wp:extent cx="120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-2065020</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-2082165</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-2065020</wp:posOffset>
            </wp:positionV>
            <wp:extent cx="1200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-1722120</wp:posOffset>
            </wp:positionV>
            <wp:extent cx="128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-1704975</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-1722120</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-1704975</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-1722120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-1704975</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625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625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78" w:lineRule="exact"/>
        <w:rPr>
          <w:sz w:val="20"/>
          <w:szCs w:val="20"/>
          <w:color w:val="auto"/>
        </w:rPr>
      </w:pPr>
    </w:p>
    <w:p>
      <w:pPr>
        <w:jc w:val="both"/>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at December 31, 2022 is based on the Company’s closing stock price on that date of $1.24 per share. As of December 31, 2022, there was $3.2 million of total unrecognized compensation expense related to unvested stock options and RSAs, excluding unvested RSAs with performance conditions deemed to be improbable for the period ended December 31, 2022, which the Company expects to recognize over the weighted average remaining period of 1.8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the Company had reserved shares of its common stock for future issuance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780" w:type="dxa"/>
            <w:vAlign w:val="bottom"/>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Shares Reserved</w:t>
            </w:r>
          </w:p>
        </w:tc>
      </w:tr>
      <w:tr>
        <w:trPr>
          <w:trHeight w:val="23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3,352,803</w:t>
            </w:r>
          </w:p>
        </w:tc>
      </w:tr>
      <w:tr>
        <w:trPr>
          <w:trHeight w:val="23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3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grants under the 2016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570,570</w:t>
            </w: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20,549,338</w:t>
            </w:r>
          </w:p>
        </w:tc>
      </w:tr>
      <w:tr>
        <w:trPr>
          <w:trHeight w:val="23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reserved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24,512,459</w:t>
            </w:r>
          </w:p>
        </w:tc>
      </w:tr>
      <w:tr>
        <w:trPr>
          <w:trHeight w:val="20"/>
        </w:trPr>
        <w:tc>
          <w:tcPr>
            <w:tcW w:w="9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14. Employee Retirement Plan</w:t>
      </w:r>
    </w:p>
    <w:p>
      <w:pPr>
        <w:spacing w:after="0" w:line="22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Company’s employees participate in an employee retirement plan under Section 401(k) of the Internal Revenue Code of 1986, as amended. All of the Company’s employees who meet minimum eligibility requirements are eligible to participate in the plan. The Company did not make matching contributions to the 401(k) plan for the years ended December 31, 2022 and 2021.</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2."/>
      <w:numFmt w:val="decimal"/>
      <w:start w:val="4"/>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41" Type="http://schemas.openxmlformats.org/officeDocument/2006/relationships/image" Target="media/image8.png"/><Relationship Id="rId43" Type="http://schemas.openxmlformats.org/officeDocument/2006/relationships/image" Target="media/image9.png"/><Relationship Id="rId44"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image" Target="media/image16.png"/><Relationship Id="rId55" Type="http://schemas.openxmlformats.org/officeDocument/2006/relationships/image" Target="media/image17.png"/><Relationship Id="rId56"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4" Type="http://schemas.openxmlformats.org/officeDocument/2006/relationships/image" Target="media/image23.png"/><Relationship Id="rId66" Type="http://schemas.openxmlformats.org/officeDocument/2006/relationships/image" Target="media/image24.png"/><Relationship Id="rId68" Type="http://schemas.openxmlformats.org/officeDocument/2006/relationships/image" Target="media/image25.png"/><Relationship Id="rId70" Type="http://schemas.openxmlformats.org/officeDocument/2006/relationships/image" Target="media/image26.png"/><Relationship Id="rId72" Type="http://schemas.openxmlformats.org/officeDocument/2006/relationships/image" Target="media/image27.png"/><Relationship Id="rId73" Type="http://schemas.openxmlformats.org/officeDocument/2006/relationships/image" Target="media/image28.png"/><Relationship Id="rId75" Type="http://schemas.openxmlformats.org/officeDocument/2006/relationships/image" Target="media/image29.png"/><Relationship Id="rId76" Type="http://schemas.openxmlformats.org/officeDocument/2006/relationships/image" Target="media/image30.png"/><Relationship Id="rId77" Type="http://schemas.openxmlformats.org/officeDocument/2006/relationships/image" Target="media/image31.png"/><Relationship Id="rId79" Type="http://schemas.openxmlformats.org/officeDocument/2006/relationships/image" Target="media/image32.png"/><Relationship Id="rId80"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9" Type="http://schemas.openxmlformats.org/officeDocument/2006/relationships/image" Target="media/image39.png"/><Relationship Id="rId90" Type="http://schemas.openxmlformats.org/officeDocument/2006/relationships/image" Target="media/image40.png"/><Relationship Id="rId92" Type="http://schemas.openxmlformats.org/officeDocument/2006/relationships/image" Target="media/image41.png"/><Relationship Id="rId93" Type="http://schemas.openxmlformats.org/officeDocument/2006/relationships/image" Target="media/image42.png"/><Relationship Id="rId95" Type="http://schemas.openxmlformats.org/officeDocument/2006/relationships/image" Target="media/image43.png"/><Relationship Id="rId96" Type="http://schemas.openxmlformats.org/officeDocument/2006/relationships/image" Target="media/image44.png"/><Relationship Id="rId98" Type="http://schemas.openxmlformats.org/officeDocument/2006/relationships/image" Target="media/image45.png"/><Relationship Id="rId99" Type="http://schemas.openxmlformats.org/officeDocument/2006/relationships/image" Target="media/image46.png"/><Relationship Id="rId101" Type="http://schemas.openxmlformats.org/officeDocument/2006/relationships/image" Target="media/image47.png"/><Relationship Id="rId103" Type="http://schemas.openxmlformats.org/officeDocument/2006/relationships/image" Target="media/image48.png"/><Relationship Id="rId105" Type="http://schemas.openxmlformats.org/officeDocument/2006/relationships/image" Target="media/image49.png"/><Relationship Id="rId106" Type="http://schemas.openxmlformats.org/officeDocument/2006/relationships/image" Target="media/image50.png"/><Relationship Id="rId108" Type="http://schemas.openxmlformats.org/officeDocument/2006/relationships/image" Target="media/image51.png"/><Relationship Id="rId109" Type="http://schemas.openxmlformats.org/officeDocument/2006/relationships/image" Target="media/image52.png"/><Relationship Id="rId110" Type="http://schemas.openxmlformats.org/officeDocument/2006/relationships/image" Target="media/image53.png"/><Relationship Id="rId111" Type="http://schemas.openxmlformats.org/officeDocument/2006/relationships/image" Target="media/image54.png"/><Relationship Id="rId112" Type="http://schemas.openxmlformats.org/officeDocument/2006/relationships/image" Target="media/image55.png"/><Relationship Id="rId113" Type="http://schemas.openxmlformats.org/officeDocument/2006/relationships/image" Target="media/image56.png"/><Relationship Id="rId115" Type="http://schemas.openxmlformats.org/officeDocument/2006/relationships/image" Target="media/image57.png"/><Relationship Id="rId116" Type="http://schemas.openxmlformats.org/officeDocument/2006/relationships/image" Target="media/image58.png"/><Relationship Id="rId117" Type="http://schemas.openxmlformats.org/officeDocument/2006/relationships/image" Target="media/image59.png"/><Relationship Id="rId118" Type="http://schemas.openxmlformats.org/officeDocument/2006/relationships/image" Target="media/image60.png"/><Relationship Id="rId119" Type="http://schemas.openxmlformats.org/officeDocument/2006/relationships/image" Target="media/image61.png"/><Relationship Id="rId120" Type="http://schemas.openxmlformats.org/officeDocument/2006/relationships/image" Target="media/image62.png"/><Relationship Id="rId121" Type="http://schemas.openxmlformats.org/officeDocument/2006/relationships/image" Target="media/image63.png"/><Relationship Id="rId122" Type="http://schemas.openxmlformats.org/officeDocument/2006/relationships/image" Target="media/image64.png"/><Relationship Id="rId123" Type="http://schemas.openxmlformats.org/officeDocument/2006/relationships/image" Target="media/image65.png"/><Relationship Id="rId124" Type="http://schemas.openxmlformats.org/officeDocument/2006/relationships/image" Target="media/image66.png"/><Relationship Id="rId125" Type="http://schemas.openxmlformats.org/officeDocument/2006/relationships/image" Target="media/image67.png"/><Relationship Id="rId126" Type="http://schemas.openxmlformats.org/officeDocument/2006/relationships/image" Target="media/image68.png"/><Relationship Id="rId127" Type="http://schemas.openxmlformats.org/officeDocument/2006/relationships/image" Target="media/image69.png"/><Relationship Id="rId128" Type="http://schemas.openxmlformats.org/officeDocument/2006/relationships/image" Target="media/image70.png"/><Relationship Id="rId129" Type="http://schemas.openxmlformats.org/officeDocument/2006/relationships/image" Target="media/image71.png"/><Relationship Id="rId130" Type="http://schemas.openxmlformats.org/officeDocument/2006/relationships/image" Target="media/image72.png"/><Relationship Id="rId131" Type="http://schemas.openxmlformats.org/officeDocument/2006/relationships/image" Target="media/image73.png"/><Relationship Id="rId132"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15" Type="http://schemas.openxmlformats.org/officeDocument/2006/relationships/hyperlink" Target="https://www.sec.gov/Archives/edgar/data/1080014/000114036122020321/ny20004305x1_ex2-1.htm" TargetMode="External"/><Relationship Id="rId16" Type="http://schemas.openxmlformats.org/officeDocument/2006/relationships/hyperlink" Target="https://www.sec.gov/Archives/edgar/data/1080014/000114036122025657/ny20004741x1_ex2-1.htm" TargetMode="External"/><Relationship Id="rId17" Type="http://schemas.openxmlformats.org/officeDocument/2006/relationships/hyperlink" Target="https://www.sec.gov/Archives/edgar/data/1080014/000104746904024286/a2140025zex-3_3.htm" TargetMode="External"/><Relationship Id="rId18" Type="http://schemas.openxmlformats.org/officeDocument/2006/relationships/hyperlink" Target="https://www.sec.gov/Archives/edgar/data/1080014/000110465907036933/a07-10633_1ex3d4.htm" TargetMode="External"/><Relationship Id="rId19" Type="http://schemas.openxmlformats.org/officeDocument/2006/relationships/hyperlink" Target="https://www.sec.gov/Archives/edgar/data/1080014/000110465916088785/a16-1366_1ex3d1.htm" TargetMode="External"/><Relationship Id="rId20" Type="http://schemas.openxmlformats.org/officeDocument/2006/relationships/hyperlink" Target="https://www.sec.gov/Archives/edgar/data/1080014/000110465917007849/a17-4037_1ex3d1.htm" TargetMode="External"/><Relationship Id="rId21" Type="http://schemas.openxmlformats.org/officeDocument/2006/relationships/hyperlink" Target="https://www.sec.gov/Archives/edgar/data/1080014/000110465907015079/a07-1942_1ex4d1.htm" TargetMode="External"/><Relationship Id="rId22" Type="http://schemas.openxmlformats.org/officeDocument/2006/relationships/hyperlink" Target="https://www.sec.gov/Archives/edgar/data/1080014/000110465913004773/a12-25051_9ex4d1.htm" TargetMode="External"/><Relationship Id="rId23" Type="http://schemas.openxmlformats.org/officeDocument/2006/relationships/hyperlink" Target="https://www.sec.gov/Archives/edgar/data/1080014/000110465917049927/a17-18560_4ex4d1.htm" TargetMode="External"/><Relationship Id="rId24" Type="http://schemas.openxmlformats.org/officeDocument/2006/relationships/hyperlink" Target="https://www.sec.gov/Archives/edgar/data/1080014/000110465920022807/ex-4d9.htm" TargetMode="External"/><Relationship Id="rId25" Type="http://schemas.openxmlformats.org/officeDocument/2006/relationships/hyperlink" Target="https://www.sec.gov/Archives/edgar/data/1080014/000110465922031613/tm228653d1_ex4-1.htm" TargetMode="External"/><Relationship Id="rId26" Type="http://schemas.openxmlformats.org/officeDocument/2006/relationships/hyperlink" Target="https://www.sec.gov/Archives/edgar/data/1080014/000110465910041932/a10-12639_1ex10d4.htm" TargetMode="External"/><Relationship Id="rId27" Type="http://schemas.openxmlformats.org/officeDocument/2006/relationships/hyperlink" Target="https://www.sec.gov/Archives/edgar/data/1080014/000110465914058343/a14-13984_1ex10d1.htm" TargetMode="External"/><Relationship Id="rId28" Type="http://schemas.openxmlformats.org/officeDocument/2006/relationships/hyperlink" Target="https://www.sec.gov/Archives/edgar/data/1080014/000104746904020116/a2136994zex-10_13.htm" TargetMode="External"/><Relationship Id="rId29" Type="http://schemas.openxmlformats.org/officeDocument/2006/relationships/hyperlink" Target="https://www.sec.gov/Archives/edgar/data/1080014/000104746914001691/a2218387zex-10_13.htm" TargetMode="External"/><Relationship Id="rId30" Type="http://schemas.openxmlformats.org/officeDocument/2006/relationships/hyperlink" Target="https://www.sec.gov/Archives/edgar/data/1080014/000104746910001540/a2196645zex-10_22.htm" TargetMode="External"/><Relationship Id="rId31" Type="http://schemas.openxmlformats.org/officeDocument/2006/relationships/hyperlink" Target="https://www.sec.gov/Archives/edgar/data/1080014/000104746910001540/a2196645zex-10_47.htm" TargetMode="External"/><Relationship Id="rId32" Type="http://schemas.openxmlformats.org/officeDocument/2006/relationships/hyperlink" Target="https://www.sec.gov/Archives/edgar/data/1080014/000104746910001540/a2196645zex-10_48.htm" TargetMode="External"/><Relationship Id="rId33" Type="http://schemas.openxmlformats.org/officeDocument/2006/relationships/hyperlink" Target="https://www.sec.gov/Archives/edgar/data/1080014/000110465910060202/a10-21843_1ex10d2.htm" TargetMode="External"/><Relationship Id="rId34" Type="http://schemas.openxmlformats.org/officeDocument/2006/relationships/hyperlink" Target="https://www.sec.gov/Archives/edgar/data/1080014/000104746912001614/a2207068zex-10_34.htm" TargetMode="External"/><Relationship Id="rId35" Type="http://schemas.openxmlformats.org/officeDocument/2006/relationships/hyperlink" Target="https://www.sec.gov/Archives/edgar/data/1080014/000110465912053222/a12-11849_1ex10d38.htm" TargetMode="External"/><Relationship Id="rId36" Type="http://schemas.openxmlformats.org/officeDocument/2006/relationships/hyperlink" Target="https://www.sec.gov/Archives/edgar/data/1080014/000110465913003879/a12-25051_8ex10d1.htm" TargetMode="External"/><Relationship Id="rId37" Type="http://schemas.openxmlformats.org/officeDocument/2006/relationships/hyperlink" Target="https://www.sec.gov/Archives/edgar/data/1080014/000110465913003879/a12-25051_8ex10d2.htm" TargetMode="External"/><Relationship Id="rId38" Type="http://schemas.openxmlformats.org/officeDocument/2006/relationships/hyperlink" Target="https://www.sec.gov/Archives/edgar/data/1080014/000110465914017128/a14-7412_1ex10d1.htm" TargetMode="External"/><Relationship Id="rId39" Type="http://schemas.openxmlformats.org/officeDocument/2006/relationships/hyperlink" Target="https://www.sec.gov/Archives/edgar/data/1080014/000110465914017128/a14-7412_1ex10d2.htm" TargetMode="External"/><Relationship Id="rId40" Type="http://schemas.openxmlformats.org/officeDocument/2006/relationships/hyperlink" Target="https://www.sec.gov/Archives/edgar/data/1080014/000110465914017128/a14-7412_1ex10d3.htm" TargetMode="External"/><Relationship Id="rId42" Type="http://schemas.openxmlformats.org/officeDocument/2006/relationships/hyperlink" Target="https://www.sec.gov/Archives/edgar/data/1080014/000110465914044231/a14-14482_1ex10d2.htm" TargetMode="External"/><Relationship Id="rId45" Type="http://schemas.openxmlformats.org/officeDocument/2006/relationships/hyperlink" Target="https://www.sec.gov/Archives/edgar/data/1080014/000110465914044231/a14-14482_1ex10d3.htm" TargetMode="External"/><Relationship Id="rId48" Type="http://schemas.openxmlformats.org/officeDocument/2006/relationships/hyperlink" Target="https://www.sec.gov/Archives/edgar/data/1080014/000110465914044231/a14-14482_1ex10d4.htm" TargetMode="External"/><Relationship Id="rId51" Type="http://schemas.openxmlformats.org/officeDocument/2006/relationships/hyperlink" Target="https://www.sec.gov/Archives/edgar/data/1080014/000110465914044231/a14-14482_1ex10d5.htm" TargetMode="External"/><Relationship Id="rId54" Type="http://schemas.openxmlformats.org/officeDocument/2006/relationships/hyperlink" Target="https://www.sec.gov/Archives/edgar/data/1080014/000110465915036218/a15-7167_1ex10d64.htm" TargetMode="External"/><Relationship Id="rId57" Type="http://schemas.openxmlformats.org/officeDocument/2006/relationships/hyperlink" Target="https://www.sec.gov/Archives/edgar/data/1080014/000110465915054328/a15-16369_1ex10d2.htm" TargetMode="External"/><Relationship Id="rId60" Type="http://schemas.openxmlformats.org/officeDocument/2006/relationships/hyperlink" Target="https://www.sec.gov/Archives/edgar/data/1080014/000104746918001016/a2234562zex-10_76.htm" TargetMode="External"/><Relationship Id="rId63" Type="http://schemas.openxmlformats.org/officeDocument/2006/relationships/hyperlink" Target="https://www.sec.gov/Archives/edgar/data/1080014/000110465918047409/a18-14089_1ex10d81.htm" TargetMode="External"/><Relationship Id="rId65" Type="http://schemas.openxmlformats.org/officeDocument/2006/relationships/hyperlink" Target="https://www.sec.gov/Archives/edgar/data/1080014/000089914018000502/i25948910b.htm" TargetMode="External"/><Relationship Id="rId67" Type="http://schemas.openxmlformats.org/officeDocument/2006/relationships/hyperlink" Target="https://www.sec.gov/Archives/edgar/data/1080014/000089914020000275/i35135265b.htm" TargetMode="External"/><Relationship Id="rId69" Type="http://schemas.openxmlformats.org/officeDocument/2006/relationships/hyperlink" Target="https://www.sec.gov/Archives/edgar/data/1080014/000089914022000493/i5271437b.htm" TargetMode="External"/><Relationship Id="rId71" Type="http://schemas.openxmlformats.org/officeDocument/2006/relationships/hyperlink" Target="https://www.sec.gov/Archives/edgar/data/1080014/000119312520316331/d69428dex101.htm" TargetMode="External"/><Relationship Id="rId74" Type="http://schemas.openxmlformats.org/officeDocument/2006/relationships/hyperlink" Target="https://www.sec.gov/Archives/edgar/data/1080014/000119312520316331/d69428dex102.htm" TargetMode="External"/><Relationship Id="rId78" Type="http://schemas.openxmlformats.org/officeDocument/2006/relationships/hyperlink" Target="https://www.sec.gov/Archives/edgar/data/1080014/000089914021000501/i052021b.htm" TargetMode="External"/><Relationship Id="rId81" Type="http://schemas.openxmlformats.org/officeDocument/2006/relationships/hyperlink" Target="https://www.sec.gov/Archives/edgar/data/1080014/000089914021000501/i052021c.htm" TargetMode="External"/><Relationship Id="rId84" Type="http://schemas.openxmlformats.org/officeDocument/2006/relationships/hyperlink" Target="https://www.sec.gov/Archives/edgar/data/1080014/000110465922031613/tm228653d1_ex10-1.htm" TargetMode="External"/><Relationship Id="rId88" Type="http://schemas.openxmlformats.org/officeDocument/2006/relationships/hyperlink" Target="https://www.sec.gov/Archives/edgar/data/1080014/000114036122020321/ny20004305x1_ex10-1.htm" TargetMode="External"/><Relationship Id="rId91" Type="http://schemas.openxmlformats.org/officeDocument/2006/relationships/hyperlink" Target="https://www.sec.gov/Archives/edgar/data/1080014/000114036122025657/ny20004741x1_ex10-1.htm" TargetMode="External"/><Relationship Id="rId94" Type="http://schemas.openxmlformats.org/officeDocument/2006/relationships/hyperlink" Target="https://www.sec.gov/Archives/edgar/data/1080014/000114036122025945/ny20004764x1_ex10-1.htm" TargetMode="External"/><Relationship Id="rId97" Type="http://schemas.openxmlformats.org/officeDocument/2006/relationships/hyperlink" Target="https://www.sec.gov/Archives/edgar/data/1080014/000114036122025945/ny20004764x1_ex10-2.htm" TargetMode="External"/><Relationship Id="rId100" Type="http://schemas.openxmlformats.org/officeDocument/2006/relationships/hyperlink" Target="https://www.sec.gov/Archives/edgar/data/1080014/000095017023005168/inva-ex21_1.htm" TargetMode="External"/><Relationship Id="rId102" Type="http://schemas.openxmlformats.org/officeDocument/2006/relationships/hyperlink" Target="https://www.sec.gov/Archives/edgar/data/1080014/000095017023005168/inva-ex23_1.htm" TargetMode="External"/><Relationship Id="rId104" Type="http://schemas.openxmlformats.org/officeDocument/2006/relationships/hyperlink" Target="https://www.sec.gov/Archives/edgar/data/1080014/000095017023005168/inva-ex23_2.htm" TargetMode="External"/><Relationship Id="rId107" Type="http://schemas.openxmlformats.org/officeDocument/2006/relationships/hyperlink" Target="https://www.sec.gov/ix?doc=/Archives/edgar/data/0001080014/000095017023005168/inva-20221231.htm#power_of_attorney" TargetMode="External"/><Relationship Id="rId114" Type="http://schemas.openxmlformats.org/officeDocument/2006/relationships/hyperlink" Target="https://www.sec.gov/ix?doc=/Archives/edgar/data/0001080014/000095017022004088/inva-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2023-03-20T15:27:47Z</dcterms:created>
  <dcterms:modified xsi:type="dcterms:W3CDTF">2023-03-20T15:27:47Z</dcterms:modified>
</cp:coreProperties>
</file>