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Zhen Marianne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OLD BAYSHORE HIGHWAY,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Innoviva,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56,389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income tax withholding obligations associated with the quarterly vesting of previously granted employee equity grants.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Marianne Zhen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0085" TargetMode="External"/><Relationship Id="rId5" Type="http://schemas.openxmlformats.org/officeDocument/2006/relationships/hyperlink" Target="http://www.sec.gov/cgi-bin/browse-edgar?action=getcompany&amp;CIK=0001080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3209</Characters>
  <CharactersWithSpaces>3729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