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628015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825500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0" w:lineRule="exact"/>
        <w:rPr>
          <w:sz w:val="24"/>
          <w:szCs w:val="24"/>
          <w:color w:val="auto"/>
        </w:rPr>
      </w:pPr>
    </w:p>
    <w:p>
      <w:pPr>
        <w:ind w:left="760" w:hanging="365"/>
        <w:spacing w:after="0"/>
        <w:tabs>
          <w:tab w:leader="none" w:pos="76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3" w:lineRule="exact"/>
        <w:rPr>
          <w:sz w:val="24"/>
          <w:szCs w:val="24"/>
          <w:color w:val="auto"/>
        </w:rPr>
      </w:pPr>
    </w:p>
    <w:p>
      <w:pPr>
        <w:ind w:left="760" w:hanging="365"/>
        <w:spacing w:after="0"/>
        <w:tabs>
          <w:tab w:leader="none" w:pos="76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9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7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91"/>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20" w:type="dxa"/>
            <w:vAlign w:val="bottom"/>
            <w:gridSpan w:val="4"/>
          </w:tcPr>
          <w:p>
            <w:pPr>
              <w:jc w:val="center"/>
              <w:ind w:right="4139"/>
              <w:spacing w:after="0"/>
              <w:rPr>
                <w:sz w:val="20"/>
                <w:szCs w:val="20"/>
                <w:color w:val="auto"/>
              </w:rPr>
            </w:pPr>
            <w:r>
              <w:rPr>
                <w:rFonts w:ascii="Times New Roman" w:cs="Times New Roman" w:eastAsia="Times New Roman" w:hAnsi="Times New Roman"/>
                <w:sz w:val="16"/>
                <w:szCs w:val="16"/>
                <w:b w:val="1"/>
                <w:bCs w:val="1"/>
                <w:color w:val="auto"/>
              </w:rPr>
              <w:t>Commission File Number: 000-30319</w:t>
            </w:r>
          </w:p>
        </w:tc>
      </w:tr>
      <w:tr>
        <w:trPr>
          <w:trHeight w:val="451"/>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2"/>
          </w:tcPr>
          <w:p>
            <w:pPr>
              <w:jc w:val="center"/>
              <w:ind w:left="170"/>
              <w:spacing w:after="0"/>
              <w:rPr>
                <w:sz w:val="20"/>
                <w:szCs w:val="20"/>
                <w:color w:val="auto"/>
              </w:rPr>
            </w:pPr>
            <w:r>
              <w:rPr>
                <w:rFonts w:ascii="Times New Roman" w:cs="Times New Roman" w:eastAsia="Times New Roman" w:hAnsi="Times New Roman"/>
                <w:sz w:val="23"/>
                <w:szCs w:val="23"/>
                <w:b w:val="1"/>
                <w:bCs w:val="1"/>
                <w:color w:val="auto"/>
                <w:w w:val="99"/>
              </w:rPr>
              <w:t>INNOVIVA, INC.</w:t>
            </w:r>
          </w:p>
        </w:tc>
        <w:tc>
          <w:tcPr>
            <w:tcW w:w="47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7640" w:type="dxa"/>
            <w:vAlign w:val="bottom"/>
            <w:gridSpan w:val="5"/>
          </w:tcPr>
          <w:p>
            <w:pPr>
              <w:jc w:val="center"/>
              <w:ind w:right="34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97"/>
        </w:trPr>
        <w:tc>
          <w:tcPr>
            <w:tcW w:w="3600" w:type="dxa"/>
            <w:vAlign w:val="bottom"/>
          </w:tcPr>
          <w:p>
            <w:pPr>
              <w:jc w:val="center"/>
              <w:ind w:left="1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94-3265960</w:t>
            </w:r>
          </w:p>
        </w:tc>
      </w:tr>
      <w:tr>
        <w:trPr>
          <w:trHeight w:val="175"/>
        </w:trPr>
        <w:tc>
          <w:tcPr>
            <w:tcW w:w="6540" w:type="dxa"/>
            <w:vAlign w:val="bottom"/>
            <w:gridSpan w:val="5"/>
          </w:tcPr>
          <w:p>
            <w:pPr>
              <w:jc w:val="center"/>
              <w:ind w:right="1000"/>
              <w:spacing w:after="0" w:line="17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700" w:type="dxa"/>
            <w:vAlign w:val="bottom"/>
          </w:tcPr>
          <w:p>
            <w:pPr>
              <w:jc w:val="center"/>
              <w:ind w:right="719"/>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540" w:type="dxa"/>
            <w:vAlign w:val="bottom"/>
            <w:gridSpan w:val="5"/>
          </w:tcPr>
          <w:p>
            <w:pPr>
              <w:jc w:val="center"/>
              <w:ind w:right="10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0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54"/>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20" w:type="dxa"/>
            <w:vAlign w:val="bottom"/>
            <w:gridSpan w:val="4"/>
          </w:tcPr>
          <w:p>
            <w:pPr>
              <w:jc w:val="center"/>
              <w:ind w:right="4139"/>
              <w:spacing w:after="0"/>
              <w:rPr>
                <w:sz w:val="20"/>
                <w:szCs w:val="20"/>
                <w:color w:val="auto"/>
              </w:rPr>
            </w:pPr>
            <w:r>
              <w:rPr>
                <w:rFonts w:ascii="Times New Roman" w:cs="Times New Roman" w:eastAsia="Times New Roman" w:hAnsi="Times New Roman"/>
                <w:sz w:val="16"/>
                <w:szCs w:val="16"/>
                <w:b w:val="1"/>
                <w:bCs w:val="1"/>
                <w:color w:val="auto"/>
              </w:rPr>
              <w:t>1350 Old Bayshore Highway Suite 400</w:t>
            </w:r>
          </w:p>
        </w:tc>
      </w:tr>
      <w:tr>
        <w:trPr>
          <w:trHeight w:val="191"/>
        </w:trPr>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2"/>
          </w:tcPr>
          <w:p>
            <w:pPr>
              <w:jc w:val="center"/>
              <w:ind w:left="170"/>
              <w:spacing w:after="0"/>
              <w:rPr>
                <w:sz w:val="20"/>
                <w:szCs w:val="20"/>
                <w:color w:val="auto"/>
              </w:rPr>
            </w:pPr>
            <w:r>
              <w:rPr>
                <w:rFonts w:ascii="Times New Roman" w:cs="Times New Roman" w:eastAsia="Times New Roman" w:hAnsi="Times New Roman"/>
                <w:sz w:val="16"/>
                <w:szCs w:val="16"/>
                <w:b w:val="1"/>
                <w:bCs w:val="1"/>
                <w:color w:val="auto"/>
              </w:rPr>
              <w:t>Burlingame, CA 94010</w:t>
            </w:r>
          </w:p>
        </w:tc>
        <w:tc>
          <w:tcPr>
            <w:tcW w:w="47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gridSpan w:val="4"/>
          </w:tcPr>
          <w:p>
            <w:pPr>
              <w:jc w:val="center"/>
              <w:ind w:right="4139"/>
              <w:spacing w:after="0"/>
              <w:rPr>
                <w:sz w:val="20"/>
                <w:szCs w:val="20"/>
                <w:color w:val="auto"/>
              </w:rPr>
            </w:pPr>
            <w:r>
              <w:rPr>
                <w:rFonts w:ascii="Times New Roman" w:cs="Times New Roman" w:eastAsia="Times New Roman" w:hAnsi="Times New Roman"/>
                <w:sz w:val="16"/>
                <w:szCs w:val="16"/>
                <w:color w:val="auto"/>
              </w:rPr>
              <w:t>(Address of Principal Executive Offices)</w:t>
            </w:r>
          </w:p>
        </w:tc>
      </w:tr>
      <w:tr>
        <w:trPr>
          <w:trHeight w:val="370"/>
        </w:trPr>
        <w:tc>
          <w:tcPr>
            <w:tcW w:w="3600" w:type="dxa"/>
            <w:vAlign w:val="bottom"/>
          </w:tcPr>
          <w:p>
            <w:pPr>
              <w:spacing w:after="0"/>
              <w:rPr>
                <w:sz w:val="24"/>
                <w:szCs w:val="24"/>
                <w:color w:val="auto"/>
              </w:rPr>
            </w:pPr>
          </w:p>
        </w:tc>
        <w:tc>
          <w:tcPr>
            <w:tcW w:w="2700" w:type="dxa"/>
            <w:vAlign w:val="bottom"/>
            <w:gridSpan w:val="3"/>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w w:val="99"/>
              </w:rPr>
              <w:t>(650) 238-9600</w:t>
            </w: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7640" w:type="dxa"/>
            <w:vAlign w:val="bottom"/>
            <w:gridSpan w:val="5"/>
          </w:tcPr>
          <w:p>
            <w:pPr>
              <w:jc w:val="center"/>
              <w:ind w:right="35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91"/>
        </w:trPr>
        <w:tc>
          <w:tcPr>
            <w:tcW w:w="3600" w:type="dxa"/>
            <w:vAlign w:val="bottom"/>
          </w:tcPr>
          <w:p>
            <w:pPr>
              <w:spacing w:after="0"/>
              <w:rPr>
                <w:sz w:val="24"/>
                <w:szCs w:val="24"/>
                <w:color w:val="auto"/>
              </w:rPr>
            </w:pPr>
          </w:p>
        </w:tc>
        <w:tc>
          <w:tcPr>
            <w:tcW w:w="7640" w:type="dxa"/>
            <w:vAlign w:val="bottom"/>
            <w:gridSpan w:val="5"/>
          </w:tcPr>
          <w:p>
            <w:pPr>
              <w:jc w:val="center"/>
              <w:ind w:right="35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05"/>
        </w:trPr>
        <w:tc>
          <w:tcPr>
            <w:tcW w:w="36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600" w:type="dxa"/>
            <w:vAlign w:val="bottom"/>
            <w:tcBorders>
              <w:top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INVA</w:t>
            </w:r>
          </w:p>
        </w:tc>
        <w:tc>
          <w:tcPr>
            <w:tcW w:w="240" w:type="dxa"/>
            <w:vAlign w:val="bottom"/>
          </w:tcPr>
          <w:p>
            <w:pPr>
              <w:spacing w:after="0"/>
              <w:rPr>
                <w:sz w:val="18"/>
                <w:szCs w:val="18"/>
                <w:color w:val="auto"/>
              </w:rPr>
            </w:pPr>
          </w:p>
        </w:tc>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67" w:lineRule="exact"/>
        <w:rPr>
          <w:sz w:val="24"/>
          <w:szCs w:val="24"/>
          <w:color w:val="auto"/>
        </w:rPr>
      </w:pPr>
    </w:p>
    <w:p>
      <w:pPr>
        <w:ind w:right="20" w:firstLine="37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ind w:right="40" w:firstLine="37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growth company. See the definitions of “large accelerated filer,” “accelerated filer,” “smaller reporting company,” and “emerging growth company” in Rule 12b-2 of the Act.</w:t>
      </w:r>
    </w:p>
    <w:p>
      <w:pPr>
        <w:sectPr>
          <w:pgSz w:w="11900" w:h="16838" w:orient="portrait"/>
          <w:cols w:equalWidth="0" w:num="1">
            <w:col w:w="11240"/>
          </w:cols>
          <w:pgMar w:left="320" w:top="1440" w:right="339" w:bottom="1440" w:gutter="0" w:footer="0" w:header="0"/>
        </w:sectPr>
      </w:pPr>
    </w:p>
    <w:p>
      <w:pPr>
        <w:spacing w:after="0" w:line="177" w:lineRule="exact"/>
        <w:rPr>
          <w:sz w:val="24"/>
          <w:szCs w:val="24"/>
          <w:color w:val="auto"/>
        </w:rPr>
      </w:pPr>
    </w:p>
    <w:p>
      <w:pPr>
        <w:ind w:left="19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43"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spacing w:after="0" w:line="8" w:lineRule="exact"/>
        <w:rPr>
          <w:sz w:val="24"/>
          <w:szCs w:val="24"/>
          <w:color w:val="auto"/>
        </w:rPr>
      </w:pPr>
    </w:p>
    <w:p>
      <w:pPr>
        <w:ind w:left="198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p>
      <w:pPr>
        <w:spacing w:after="0" w:line="142" w:lineRule="exact"/>
        <w:rPr>
          <w:sz w:val="24"/>
          <w:szCs w:val="24"/>
          <w:color w:val="auto"/>
        </w:rPr>
      </w:pPr>
    </w:p>
    <w:p>
      <w:pPr>
        <w:sectPr>
          <w:pgSz w:w="11900" w:h="16838" w:orient="portrait"/>
          <w:cols w:equalWidth="0" w:num="2">
            <w:col w:w="6780" w:space="720"/>
            <w:col w:w="3740"/>
          </w:cols>
          <w:pgMar w:left="320" w:top="1440" w:right="339" w:bottom="1440" w:gutter="0" w:footer="0" w:header="0"/>
          <w:type w:val="continuous"/>
        </w:sectPr>
      </w:pPr>
    </w:p>
    <w:p>
      <w:pPr>
        <w:ind w:left="7500"/>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440" w:right="339" w:bottom="1440" w:gutter="0" w:footer="0" w:header="0"/>
          <w:type w:val="continuous"/>
        </w:sectPr>
      </w:pPr>
    </w:p>
    <w:p>
      <w:pPr>
        <w:spacing w:after="0" w:line="242" w:lineRule="exact"/>
        <w:rPr>
          <w:sz w:val="24"/>
          <w:szCs w:val="24"/>
          <w:color w:val="auto"/>
        </w:rPr>
      </w:pPr>
    </w:p>
    <w:p>
      <w:pPr>
        <w:ind w:right="220" w:firstLine="374"/>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on July 15, 2022 was 69,705,967</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80" w:type="dxa"/>
            <w:vAlign w:val="bottom"/>
            <w:gridSpan w:val="9"/>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0"/>
                <w:szCs w:val="20"/>
                <w:color w:val="auto"/>
              </w:rPr>
            </w:pPr>
          </w:p>
        </w:tc>
      </w:tr>
      <w:tr>
        <w:trPr>
          <w:trHeight w:val="377"/>
        </w:trPr>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260" w:type="dxa"/>
            <w:vAlign w:val="bottom"/>
          </w:tcPr>
          <w:p>
            <w:pPr>
              <w:spacing w:after="0"/>
              <w:rPr>
                <w:sz w:val="24"/>
                <w:szCs w:val="24"/>
                <w:color w:val="auto"/>
              </w:rPr>
            </w:pPr>
          </w:p>
        </w:tc>
      </w:tr>
      <w:tr>
        <w:trPr>
          <w:trHeight w:val="411"/>
        </w:trPr>
        <w:tc>
          <w:tcPr>
            <w:tcW w:w="20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980" w:type="dxa"/>
            <w:vAlign w:val="bottom"/>
            <w:tcBorders>
              <w:top w:val="single" w:sz="8" w:color="0000FF"/>
            </w:tcBorders>
            <w:gridSpan w:val="4"/>
          </w:tcPr>
          <w:p>
            <w:pPr>
              <w:spacing w:after="0"/>
              <w:rPr>
                <w:sz w:val="24"/>
                <w:szCs w:val="24"/>
                <w:color w:val="auto"/>
              </w:rPr>
            </w:pPr>
          </w:p>
        </w:tc>
        <w:tc>
          <w:tcPr>
            <w:tcW w:w="688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1"/>
        </w:trPr>
        <w:tc>
          <w:tcPr>
            <w:tcW w:w="20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2022 (Unaudited) and December 31,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580" w:type="dxa"/>
            <w:vAlign w:val="bottom"/>
            <w:tcBorders>
              <w:bottom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Income for the Three and Six Months ended June 30, 2022 and 2021</w:t>
            </w:r>
          </w:p>
        </w:tc>
        <w:tc>
          <w:tcPr>
            <w:tcW w:w="20" w:type="dxa"/>
            <w:vAlign w:val="bottom"/>
            <w:tcBorders>
              <w:bottom w:val="single" w:sz="8" w:color="0000EE"/>
            </w:tcBorders>
          </w:tcPr>
          <w:p>
            <w:pPr>
              <w:spacing w:after="0"/>
              <w:rPr>
                <w:sz w:val="17"/>
                <w:szCs w:val="17"/>
                <w:color w:val="auto"/>
              </w:rPr>
            </w:pPr>
          </w:p>
        </w:tc>
        <w:tc>
          <w:tcPr>
            <w:tcW w:w="1140" w:type="dxa"/>
            <w:vAlign w:val="bottom"/>
            <w:gridSpan w:val="2"/>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9740" w:type="dxa"/>
            <w:vAlign w:val="bottom"/>
            <w:tcBorders>
              <w:bottom w:val="single" w:sz="8" w:color="0000FF"/>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Income for the Three and Six Months ended June 30, 2022 and 2021</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0" w:type="dxa"/>
            <w:vAlign w:val="bottom"/>
          </w:tcPr>
          <w:p>
            <w:pPr>
              <w:spacing w:after="0"/>
              <w:rPr>
                <w:sz w:val="17"/>
                <w:szCs w:val="17"/>
                <w:color w:val="auto"/>
              </w:rPr>
            </w:pPr>
          </w:p>
        </w:tc>
        <w:tc>
          <w:tcPr>
            <w:tcW w:w="974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Six Months ended June 30, 2022 and 2021</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0" w:type="dxa"/>
            <w:vAlign w:val="bottom"/>
          </w:tcPr>
          <w:p>
            <w:pPr>
              <w:spacing w:after="0"/>
              <w:rPr>
                <w:sz w:val="17"/>
                <w:szCs w:val="17"/>
                <w:color w:val="auto"/>
              </w:rPr>
            </w:pPr>
          </w:p>
        </w:tc>
        <w:tc>
          <w:tcPr>
            <w:tcW w:w="8120" w:type="dxa"/>
            <w:vAlign w:val="bottom"/>
            <w:tcBorders>
              <w:top w:val="single" w:sz="8" w:color="0000FF"/>
              <w:bottom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Six Months ended June 30, 2022 and 2021</w:t>
            </w:r>
          </w:p>
        </w:tc>
        <w:tc>
          <w:tcPr>
            <w:tcW w:w="1440" w:type="dxa"/>
            <w:vAlign w:val="bottom"/>
            <w:tcBorders>
              <w:top w:val="single" w:sz="8" w:color="0000FF"/>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0" w:type="dxa"/>
            <w:vAlign w:val="bottom"/>
          </w:tcPr>
          <w:p>
            <w:pPr>
              <w:spacing w:after="0"/>
              <w:rPr>
                <w:sz w:val="17"/>
                <w:szCs w:val="17"/>
                <w:color w:val="auto"/>
              </w:rPr>
            </w:pPr>
          </w:p>
        </w:tc>
        <w:tc>
          <w:tcPr>
            <w:tcW w:w="974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1"/>
        </w:trPr>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1"/>
        </w:trPr>
        <w:tc>
          <w:tcPr>
            <w:tcW w:w="49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20" w:type="dxa"/>
            <w:vAlign w:val="bottom"/>
            <w:tcBorders>
              <w:top w:val="single" w:sz="8" w:color="0000FF"/>
            </w:tcBorders>
          </w:tcPr>
          <w:p>
            <w:pPr>
              <w:spacing w:after="0"/>
              <w:rPr>
                <w:sz w:val="24"/>
                <w:szCs w:val="24"/>
                <w:color w:val="auto"/>
              </w:rPr>
            </w:pPr>
          </w:p>
        </w:tc>
        <w:tc>
          <w:tcPr>
            <w:tcW w:w="294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1"/>
        </w:trPr>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1"/>
        </w:trPr>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260" w:type="dxa"/>
            <w:vAlign w:val="bottom"/>
          </w:tcPr>
          <w:p>
            <w:pPr>
              <w:spacing w:after="0"/>
              <w:rPr>
                <w:sz w:val="24"/>
                <w:szCs w:val="24"/>
                <w:color w:val="auto"/>
              </w:rPr>
            </w:pPr>
          </w:p>
        </w:tc>
      </w:tr>
      <w:tr>
        <w:trPr>
          <w:trHeight w:val="411"/>
        </w:trPr>
        <w:tc>
          <w:tcPr>
            <w:tcW w:w="27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18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1"/>
        </w:trPr>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06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1"/>
        </w:trPr>
        <w:tc>
          <w:tcPr>
            <w:tcW w:w="4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04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1"/>
        </w:trPr>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060" w:type="dxa"/>
            <w:vAlign w:val="bottom"/>
            <w:gridSpan w:val="10"/>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1"/>
        </w:trPr>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4. Mine Safety Disclosure</w:t>
            </w:r>
          </w:p>
        </w:tc>
        <w:tc>
          <w:tcPr>
            <w:tcW w:w="760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1"/>
        </w:trPr>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1"/>
        </w:trPr>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24"/>
                <w:szCs w:val="24"/>
                <w:color w:val="auto"/>
              </w:rPr>
            </w:pPr>
          </w:p>
        </w:tc>
        <w:tc>
          <w:tcPr>
            <w:tcW w:w="808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1"/>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180" w:type="dxa"/>
            <w:vAlign w:val="bottom"/>
            <w:gridSpan w:val="1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5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27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2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283,580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201,525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party receivables from collaborative arrangements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110,711</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09"/>
        </w:trPr>
        <w:tc>
          <w:tcPr>
            <w:tcW w:w="7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313,673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and long-term investments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483,845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fees paid to a related party,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1,137,639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926,395</w:t>
            </w:r>
          </w:p>
        </w:tc>
        <w:tc>
          <w:tcPr>
            <w:tcW w:w="10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00" w:type="dxa"/>
            <w:vAlign w:val="bottom"/>
            <w:shd w:val="clear" w:color="auto" w:fill="CFF0FC"/>
          </w:tcPr>
          <w:p>
            <w:pPr>
              <w:spacing w:after="0"/>
              <w:rPr>
                <w:sz w:val="17"/>
                <w:szCs w:val="17"/>
                <w:color w:val="auto"/>
              </w:rPr>
            </w:pPr>
          </w:p>
        </w:tc>
        <w:tc>
          <w:tcPr>
            <w:tcW w:w="5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8"/>
                <w:szCs w:val="18"/>
                <w:color w:val="auto"/>
              </w:rPr>
            </w:pPr>
          </w:p>
        </w:tc>
      </w:tr>
      <w:tr>
        <w:trPr>
          <w:trHeight w:val="170"/>
        </w:trPr>
        <w:tc>
          <w:tcPr>
            <w:tcW w:w="7700" w:type="dxa"/>
            <w:vAlign w:val="bottom"/>
            <w:gridSpan w:val="2"/>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Convertible subordinated notes due 2023,</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of issuance costs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r>
      <w:tr>
        <w:trPr>
          <w:trHeight w:val="209"/>
        </w:trPr>
        <w:tc>
          <w:tcPr>
            <w:tcW w:w="7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and issuance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0"/>
        </w:trPr>
        <w:tc>
          <w:tcPr>
            <w:tcW w:w="7700" w:type="dxa"/>
            <w:vAlign w:val="bottom"/>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$0.01 par value, 230 shares authorized,</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8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0"/>
        </w:trPr>
        <w:tc>
          <w:tcPr>
            <w:tcW w:w="7700" w:type="dxa"/>
            <w:vAlign w:val="bottom"/>
            <w:gridSpan w:val="2"/>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$0.01 par value, 200,000 shares authorized,</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700" w:type="dxa"/>
            <w:vAlign w:val="bottom"/>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8"/>
                <w:szCs w:val="18"/>
                <w:color w:val="auto"/>
              </w:rPr>
              <w:t>69,706 and 69,566 issued and outstanding as of</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43"/>
        </w:trPr>
        <w:tc>
          <w:tcPr>
            <w:tcW w:w="77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21"/>
                <w:szCs w:val="21"/>
                <w:color w:val="auto"/>
              </w:rPr>
            </w:pPr>
          </w:p>
        </w:tc>
      </w:tr>
      <w:tr>
        <w:trPr>
          <w:trHeight w:val="170"/>
        </w:trPr>
        <w:tc>
          <w:tcPr>
            <w:tcW w:w="7700" w:type="dxa"/>
            <w:vAlign w:val="bottom"/>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 at cost, 32,005 shares at June 30, 2022</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(393,829 )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(393,829 )</w:t>
            </w: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1,183,667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1,264,024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(402,198 )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(456,148 )</w:t>
            </w:r>
          </w:p>
        </w:tc>
      </w:tr>
      <w:tr>
        <w:trPr>
          <w:trHeight w:val="209"/>
        </w:trPr>
        <w:tc>
          <w:tcPr>
            <w:tcW w:w="7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Innoviva stockholders’ equity</w:t>
            </w: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388,337</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111,192</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565,462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1,137,639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926,395</w:t>
            </w:r>
          </w:p>
        </w:tc>
        <w:tc>
          <w:tcPr>
            <w:tcW w:w="100" w:type="dxa"/>
            <w:vAlign w:val="bottom"/>
          </w:tcPr>
          <w:p>
            <w:pPr>
              <w:spacing w:after="0"/>
              <w:rPr>
                <w:sz w:val="18"/>
                <w:szCs w:val="18"/>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-3852545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000" w:right="2360" w:hanging="2992"/>
        <w:spacing w:after="0" w:line="488" w:lineRule="auto"/>
        <w:tabs>
          <w:tab w:leader="none" w:pos="38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Consolidated balance sheet as of December 31, 2021 has been derived from audited consolidated financial statements. </w:t>
      </w: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 w:name="page4"/>
    <w:bookmarkEnd w:id="3"/>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per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Royalty revenue from a related party, net of amortization</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of capitalized fees paid to a related party of $3,456</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in the three months ended June 30, 2022 and 2021, and</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$6,912 in the six months ended June 30, 2022 and 2021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198,279</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(951 )</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(1,384 )</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(3,655 )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(4,745 )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(6,665 )</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(9,439 )</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(20,662 )</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58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Changes in fair values of equity and</w:t>
            </w:r>
          </w:p>
        </w:tc>
        <w:tc>
          <w:tcPr>
            <w:tcW w:w="24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(58,600 )</w:t>
            </w: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(68,011 )</w:t>
            </w:r>
          </w:p>
        </w:tc>
        <w:tc>
          <w:tcPr>
            <w:tcW w:w="2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investments, net</w:t>
            </w:r>
          </w:p>
        </w:tc>
        <w:tc>
          <w:tcPr>
            <w:tcW w:w="24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65,213</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(876 )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110,846</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8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22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22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Innoviva stockholders</w:t>
            </w:r>
          </w:p>
        </w:tc>
        <w:tc>
          <w:tcPr>
            <w:tcW w:w="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Basic net income per share attributable to</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Innoviva stockholders</w:t>
            </w: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80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Diluted net income per share attributable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to Innoviva stockholders</w:t>
            </w:r>
          </w:p>
        </w:tc>
        <w:tc>
          <w:tcPr>
            <w:tcW w:w="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Shares used to compute Innoviva basic and diluted</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used to compute basic net income per share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Shares used to compute diluted net income per share</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95,653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100,639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94,692</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107,096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-2978785</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-2978785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-2978785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-2978785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-2037080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-2037080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-2037080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-1754505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-1754505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-1754505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-1360805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-1360805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-1360805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-864235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-847090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-864235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-847090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-864235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-847090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220,541</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Innoviva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-453390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-453390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-453390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-170815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 w:name="page6"/>
    <w:bookmarkEnd w:id="5"/>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Six Months Ended June 30, 2022</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920" w:type="dxa"/>
            <w:vAlign w:val="bottom"/>
          </w:tcPr>
          <w:p>
            <w:pPr>
              <w:jc w:val="center"/>
              <w:ind w:right="42"/>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15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780" w:type="dxa"/>
            <w:vAlign w:val="bottom"/>
            <w:gridSpan w:val="5"/>
            <w:vMerge w:val="continue"/>
          </w:tcPr>
          <w:p>
            <w:pPr>
              <w:spacing w:after="0"/>
              <w:rPr>
                <w:sz w:val="16"/>
                <w:szCs w:val="16"/>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69,56</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$ 1,264,024</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(456,148 )</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32,00</w:t>
            </w:r>
          </w:p>
        </w:tc>
        <w:tc>
          <w:tcPr>
            <w:tcW w:w="340" w:type="dxa"/>
            <w:vAlign w:val="bottom"/>
            <w:gridSpan w:val="2"/>
            <w:vMerge w:val="restart"/>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(393,829 )</w:t>
            </w: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111,192</w:t>
            </w:r>
          </w:p>
        </w:tc>
        <w:tc>
          <w:tcPr>
            <w:tcW w:w="2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gridSpan w:val="2"/>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gridSpan w:val="2"/>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Cumulative adjustment due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to adoption of</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ASU 2020-06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(65,361 )</w:t>
            </w: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(28,123 )</w:t>
            </w:r>
          </w:p>
        </w:tc>
        <w:tc>
          <w:tcPr>
            <w:tcW w:w="0" w:type="dxa"/>
            <w:vAlign w:val="bottom"/>
          </w:tcPr>
          <w:p>
            <w:pPr>
              <w:spacing w:after="0"/>
              <w:rPr>
                <w:sz w:val="1"/>
                <w:szCs w:val="1"/>
                <w:color w:val="auto"/>
              </w:rPr>
            </w:pPr>
          </w:p>
        </w:tc>
      </w:tr>
      <w:tr>
        <w:trPr>
          <w:trHeight w:val="151"/>
        </w:trPr>
        <w:tc>
          <w:tcPr>
            <w:tcW w:w="226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Distributions to</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(6,507 )</w:t>
            </w:r>
          </w:p>
        </w:tc>
        <w:tc>
          <w:tcPr>
            <w:tcW w:w="18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(6,507 )</w:t>
            </w: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Fair value of noncontrolling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interest in a consolidated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interest entity</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26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Exercise of stock options,</w:t>
            </w: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and issuance of common</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stock units and stock</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6"/>
                <w:szCs w:val="16"/>
                <w:color w:val="auto"/>
              </w:rPr>
              <w:t>awards, net of repurchase</w:t>
            </w: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of shares to satisfy tax</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Capped call options</w:t>
            </w: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associated with</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convertible senior</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(16,585 )</w:t>
            </w:r>
          </w:p>
        </w:tc>
        <w:tc>
          <w:tcPr>
            <w:tcW w:w="10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(16,585 )</w:t>
            </w: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due 2028</w:t>
            </w:r>
          </w:p>
        </w:tc>
        <w:tc>
          <w:tcPr>
            <w:tcW w:w="5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1280" w:type="dxa"/>
            <w:vAlign w:val="bottom"/>
            <w:gridSpan w:val="3"/>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69,59</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$ 1,182,912</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(403,137 )</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32,00</w:t>
            </w:r>
          </w:p>
        </w:tc>
        <w:tc>
          <w:tcPr>
            <w:tcW w:w="340" w:type="dxa"/>
            <w:vAlign w:val="bottom"/>
            <w:gridSpan w:val="2"/>
            <w:vMerge w:val="restart"/>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(393,829 )</w:t>
            </w: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165,575</w:t>
            </w:r>
          </w:p>
        </w:tc>
        <w:tc>
          <w:tcPr>
            <w:tcW w:w="2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552,217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gridSpan w:val="2"/>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(9,545 )</w:t>
            </w:r>
          </w:p>
        </w:tc>
        <w:tc>
          <w:tcPr>
            <w:tcW w:w="1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(9,545 )</w:t>
            </w:r>
          </w:p>
        </w:tc>
        <w:tc>
          <w:tcPr>
            <w:tcW w:w="0" w:type="dxa"/>
            <w:vAlign w:val="bottom"/>
          </w:tcPr>
          <w:p>
            <w:pPr>
              <w:spacing w:after="0"/>
              <w:rPr>
                <w:sz w:val="1"/>
                <w:szCs w:val="1"/>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26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Equity activity of</w:t>
            </w: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noncontrolling interest</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in a consolidated</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15"/>
                <w:szCs w:val="15"/>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variable interest entity</w:t>
            </w:r>
          </w:p>
        </w:tc>
        <w:tc>
          <w:tcPr>
            <w:tcW w:w="5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Exercise of stock options,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and issuance of common</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stock units and stock</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awards, net of repurchase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of shares to satisfy tax</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26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Conversion of convertible</w:t>
            </w: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subordinated notes due</w:t>
            </w: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20,432</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69,70</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$ 1,183,667</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(402,198 )</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32,00</w:t>
            </w:r>
          </w:p>
        </w:tc>
        <w:tc>
          <w:tcPr>
            <w:tcW w:w="34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(393,829 )</w:t>
            </w:r>
          </w:p>
        </w:tc>
        <w:tc>
          <w:tcPr>
            <w:tcW w:w="1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177,125</w:t>
            </w:r>
          </w:p>
        </w:tc>
        <w:tc>
          <w:tcPr>
            <w:tcW w:w="200" w:type="dxa"/>
            <w:vAlign w:val="bottom"/>
          </w:tcPr>
          <w:p>
            <w:pPr>
              <w:spacing w:after="0"/>
              <w:rPr>
                <w:sz w:val="12"/>
                <w:szCs w:val="12"/>
                <w:color w:val="auto"/>
              </w:rPr>
            </w:pPr>
          </w:p>
        </w:tc>
        <w:tc>
          <w:tcPr>
            <w:tcW w:w="1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565,462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-264795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-264795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-264795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-264795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-264795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-264795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-264795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-264795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Six Months Ended June 30,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920" w:type="dxa"/>
            <w:vAlign w:val="bottom"/>
          </w:tcPr>
          <w:p>
            <w:pPr>
              <w:jc w:val="center"/>
              <w:ind w:right="42"/>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6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680" w:type="dxa"/>
            <w:vAlign w:val="bottom"/>
            <w:gridSpan w:val="5"/>
            <w:vMerge w:val="continue"/>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101,39</w:t>
            </w:r>
          </w:p>
        </w:tc>
        <w:tc>
          <w:tcPr>
            <w:tcW w:w="22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$ 1,260,900</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(722,002 )</w:t>
            </w:r>
          </w:p>
        </w:tc>
        <w:tc>
          <w:tcPr>
            <w:tcW w:w="14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67,925</w:t>
            </w:r>
          </w:p>
        </w:tc>
        <w:tc>
          <w:tcPr>
            <w:tcW w:w="1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(21,285 )</w:t>
            </w:r>
          </w:p>
        </w:tc>
        <w:tc>
          <w:tcPr>
            <w:tcW w:w="1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(21,285 )</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Equity activity of noncontrolling</w:t>
            </w: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interest from a consolidated</w:t>
            </w: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variable interest entity</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issuance of common 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units and stock awards,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of repurchase of shares to</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satisfy tax withholding</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 March 31, 2021</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101,40</w:t>
            </w:r>
          </w:p>
        </w:tc>
        <w:tc>
          <w:tcPr>
            <w:tcW w:w="22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$ 1,261,326</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(627,879 )</w:t>
            </w:r>
          </w:p>
        </w:tc>
        <w:tc>
          <w:tcPr>
            <w:tcW w:w="14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62,220</w:t>
            </w:r>
          </w:p>
        </w:tc>
        <w:tc>
          <w:tcPr>
            <w:tcW w:w="1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696,681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(20,161 )</w:t>
            </w:r>
          </w:p>
        </w:tc>
        <w:tc>
          <w:tcPr>
            <w:tcW w:w="1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(20,161 )</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Equity activity of noncontrolling</w:t>
            </w: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interest from a consolidated</w:t>
            </w: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variable interest entity</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issuance of common 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units and stock awards, net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of repurchase of shares to</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satisfy tax withholding</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(32,00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(320 )</w:t>
            </w: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32,00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8"/>
              </w:rPr>
              <w:t>(393,829 )</w:t>
            </w:r>
          </w:p>
        </w:tc>
        <w:tc>
          <w:tcPr>
            <w:tcW w:w="16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(394,149 )</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88,948</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 June 30, 2021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69,495</w:t>
            </w:r>
          </w:p>
        </w:tc>
        <w:tc>
          <w:tcPr>
            <w:tcW w:w="220" w:type="dxa"/>
            <w:vAlign w:val="bottom"/>
          </w:tcPr>
          <w:p>
            <w:pPr>
              <w:spacing w:after="0"/>
              <w:rPr>
                <w:sz w:val="12"/>
                <w:szCs w:val="12"/>
                <w:color w:val="auto"/>
              </w:rPr>
            </w:pPr>
          </w:p>
        </w:tc>
        <w:tc>
          <w:tcPr>
            <w:tcW w:w="1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$ 1,261,845</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(538,931 )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32,00</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w w:val="98"/>
              </w:rPr>
              <w:t>(393,829 )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63,965</w:t>
            </w:r>
          </w:p>
        </w:tc>
        <w:tc>
          <w:tcPr>
            <w:tcW w:w="180" w:type="dxa"/>
            <w:vAlign w:val="bottom"/>
          </w:tcPr>
          <w:p>
            <w:pPr>
              <w:spacing w:after="0"/>
              <w:rPr>
                <w:sz w:val="12"/>
                <w:szCs w:val="12"/>
                <w:color w:val="auto"/>
              </w:rPr>
            </w:pPr>
          </w:p>
        </w:tc>
        <w:tc>
          <w:tcPr>
            <w:tcW w:w="1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-264795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-264795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-264795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-264795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-264795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-264795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-264795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-264795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 w:name="page8"/>
    <w:bookmarkEnd w:id="7"/>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220,541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values of equity and long-term investments,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(99,046 )</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from collaborative arrangements</w:t>
            </w:r>
          </w:p>
        </w:tc>
        <w:tc>
          <w:tcPr>
            <w:tcW w:w="36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(965 )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(10,331 )</w:t>
            </w: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 current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 non-current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personnel-related expenses and other accrued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(709 )</w:t>
            </w: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177,137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equity and long-term investments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(58,726 )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(46,373 )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investments managed by ISP Fund LP</w:t>
            </w:r>
          </w:p>
        </w:tc>
        <w:tc>
          <w:tcPr>
            <w:tcW w:w="36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(38,026 )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(142,636 )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of equity investments managed by ISP Fund LP</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sales of other investments managed by ISP Fund LP, net</w:t>
            </w:r>
          </w:p>
        </w:tc>
        <w:tc>
          <w:tcPr>
            <w:tcW w:w="36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(96,255 )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234,091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 through the consolidation of Entasis Therapeutics Holdings, Inc.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(16,054 )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(41,446 )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(394,149 )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shares to satisfy tax withholding</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for repurchase of convertible subordinated notes due 2023</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(165,131 )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capped call options associated with convertible senior notes due 2028</w:t>
            </w:r>
          </w:p>
        </w:tc>
        <w:tc>
          <w:tcPr>
            <w:tcW w:w="36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(21,037 )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senior notes due 2028, net of issuance costs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252,536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(435,570 )</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82,055</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201,525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246,487</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283,580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ASU 2020-06</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170"/>
        </w:trPr>
        <w:tc>
          <w:tcPr>
            <w:tcW w:w="77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Right-of-use asset obtained through the consolidation of</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Entasis Therapeutics Holdings,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-3621405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-3621405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-2508250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-1403350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-829945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-812800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 w:name="page9"/>
    <w:bookmarkEnd w:id="8"/>
    <w:p>
      <w:pPr>
        <w:ind w:left="494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Operations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Operations</w:t>
      </w:r>
    </w:p>
    <w:p>
      <w:pPr>
        <w:spacing w:after="0" w:line="188" w:lineRule="exact"/>
        <w:rPr>
          <w:sz w:val="20"/>
          <w:szCs w:val="20"/>
          <w:color w:val="auto"/>
        </w:rPr>
      </w:pPr>
    </w:p>
    <w:p>
      <w:pPr>
        <w:ind w:firstLine="749"/>
        <w:spacing w:after="0" w:line="211" w:lineRule="auto"/>
        <w:rPr>
          <w:sz w:val="20"/>
          <w:szCs w:val="20"/>
          <w:color w:val="auto"/>
        </w:rPr>
      </w:pPr>
      <w:r>
        <w:rPr>
          <w:rFonts w:ascii="Times New Roman" w:cs="Times New Roman" w:eastAsia="Times New Roman" w:hAnsi="Times New Roman"/>
          <w:sz w:val="18"/>
          <w:szCs w:val="18"/>
          <w:color w:val="auto"/>
        </w:rPr>
        <w:t>Innoviva Inc. (referred to as “Innoviva”, the “Company”, or “we” and other similar pronouns) is a company with a portfolio of royalties and other healthcare assets. Our royalty portfolio contains respiratory assets partnered with Glaxo Group Limited (“GSK”), including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furoate/ vilanterol, “FF/VI”),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(umeclidinium bromide/ vilanterol, “UMEC/VI”) and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combination FF/UMEC/VI). Under the Long-Acting Beta2 Agonist (“LABA”) Collaboration Agreement, Innoviva is entitled to receive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and royalties from the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tier upward at a range from 6.5% to 10%. Innoviva is also entitled to 15% of royalty payments made by GSK under its agreements originally entered into with us, and since assigned to Theravance Respiratory Company, LLC (“TRC”), including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any other product or combination of products that may be discovered or developed in the future under the LABA Collaboration Agreement and the Strategic Alliance Agreement with GSK (referred to herein as the “GSK Agreements”), which have been assigned to TRC other than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8"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notes required by US GAAP for complete financial statements. In our opinion, the unaudited condensed consolidated financial statements have been prepared on the same basis as audited consolidated financial statements and include all adjustments, consisting of only normal recurring adjustments, necessary for the fair presentation of our financial position, results of operations, comprehensive income and cash flows. The interim results are not necessarily indicative of the results of operations to be expected for the year ending December 31, 2022 or any other period.</w:t>
      </w:r>
    </w:p>
    <w:p>
      <w:pPr>
        <w:spacing w:after="0" w:line="138"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Innoviva, our wholly-owned subsidiaries and certain variable interest entities for which we are the primary beneficiary. All intercompany balances and transactions have been eliminated in consolidation. For consolidated entities where we own or are exposed to less than 100% of the economics, we record net income attributable to noncontrolling interest in our unaudited condensed consolidated statements of income equal to the percentage of the economic or ownership interest retained in such entities by the respective noncontrolling parties. The accompanying unaudited condensed consolidated financial statements should be read in conjunction with the audited consolidated financial statements and notes thereto included in our Annual Report on Form 10-K for the year ended December 31, 2021 filed with the Securities and Exchange Commission (“SEC”) on February 28, 2022, and as amended on March 17, 2022 (“2021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Immaterial Correction</w:t>
      </w:r>
    </w:p>
    <w:p>
      <w:pPr>
        <w:spacing w:after="0" w:line="188"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Subsequent to the issuance of the unaudited condensed consolidated financial statements for the three and six months ended June 30, 2021, the Company identified that (i) purchases of equity investments managed by ISP Fund LP for $142.6 million, (ii) sales of equity investments managed by ISP Fund LP for $18.5 million, and (iii) purchase and sales of other investments managed by ISP Fund LP, net for $234.1 million were incorrectly netted in the unaudited condensed consolidated statement of cash flows within the distribution of equity and long-term investments line item. The Company has corrected the presentation in the accompanying unaudited condensed consolidated statement of cash flows for the six months ended June 30, 2021 from amounts previously reported to present such line items separately. The correction did not impact total cash flows from investing activities or the unaudited condensed consolidated balance sheet, statement of income, or statement of comprehensive income. Management assessed the correction on a quantitative and qualitative basis and determined that it is immaterial to the prior period unaudited condensed consolidated financial statements.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Use of Management’s Estimates</w:t>
      </w:r>
    </w:p>
    <w:p>
      <w:pPr>
        <w:spacing w:after="0" w:line="18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amounts reported in the unaudited condensed consolidated financial statements and accompanying notes. Actual results could differ materially from those estimates. Management evaluates its significant accounting policies and estimates on an ongoing basis. We base our estimates on historical experience and other relevant assumptions that we believe to be reasonable under the circumstances. These estimates also form the basis for making judgments about the carrying values of assets and liabilities when these values are not readily apparent from other 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Concentrations</w:t>
      </w:r>
    </w:p>
    <w:p>
      <w:pPr>
        <w:spacing w:after="0" w:line="175"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marketable securities, equity and long-term investments. Although we deposit our cash with multiple financial institutions, our deposits, at times, may exceed federally insured limits.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operate in a single segment, which is to provide capital return to stockholders by maximizing the potential value of our respiratory assets partnered with GSK. Revenues are generated from our collaborative arrangements and royalty payments from GSK, located in Great Britain. Our facilities are located within the United States.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75" w:lineRule="exact"/>
        <w:rPr>
          <w:sz w:val="20"/>
          <w:szCs w:val="20"/>
          <w:color w:val="auto"/>
        </w:rPr>
      </w:pPr>
    </w:p>
    <w:p>
      <w:pPr>
        <w:jc w:val="both"/>
        <w:ind w:right="480" w:firstLine="749"/>
        <w:spacing w:after="0" w:line="258" w:lineRule="auto"/>
        <w:rPr>
          <w:sz w:val="20"/>
          <w:szCs w:val="20"/>
          <w:color w:val="auto"/>
        </w:rPr>
      </w:pPr>
      <w:r>
        <w:rPr>
          <w:rFonts w:ascii="Times New Roman" w:cs="Times New Roman" w:eastAsia="Times New Roman" w:hAnsi="Times New Roman"/>
          <w:sz w:val="18"/>
          <w:szCs w:val="18"/>
          <w:color w:val="auto"/>
        </w:rPr>
        <w:t>We evaluate our ownership, contractual and other interest in entities to determine if they are a variable interest entity (“VIE”). We evaluate whether we have a variable interest in those entities and the nature and extent of those interests. Based on our evaluation, if we determine we are the primary beneficiary of a VIE, we consolidate the entity in our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Long-Term Investments</w:t>
      </w:r>
    </w:p>
    <w:p>
      <w:pPr>
        <w:spacing w:after="0" w:line="17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We invest from time to time in equity and debt securities of private or public companies. If we determine that we have control over these companies under either voting or VIE models, we include them in our unaudited condensed consolidated financial statements. If we determine that we do not have control over these companies under either voting or VIE models, we then determine if we have an ability to exercise significant influence via voting interests, board representation or other business relationships.</w:t>
      </w:r>
    </w:p>
    <w:p>
      <w:pPr>
        <w:spacing w:after="0" w:line="14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We may account for the investments where we exercise significant influence using either an equity method of accounting or at fair value by electing the fair value option under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If the fair value option is applied to an investment that would otherwise be accounted for under the equity method, we apply it to all our financial interests in the same entity (equity and debt, including guarantees) that are eligible items. All gains and losses from fair value changes, unrealized and realized, are presented as changes in fair values of equity and long-term investments, net on the unaudited condensed consolidated statements of income.</w:t>
      </w:r>
    </w:p>
    <w:p>
      <w:pPr>
        <w:spacing w:after="0" w:line="15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If we conclude that we do not have an ability to exercise significant influence over an investee, we may elect to account for the security without a readily determinable fair value using the measurement alternative under ASC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35" w:lineRule="exact"/>
        <w:rPr>
          <w:sz w:val="20"/>
          <w:szCs w:val="20"/>
          <w:color w:val="auto"/>
        </w:rPr>
      </w:pPr>
    </w:p>
    <w:p>
      <w:pPr>
        <w:ind w:right="340" w:firstLine="749"/>
        <w:spacing w:after="0" w:line="250" w:lineRule="auto"/>
        <w:rPr>
          <w:sz w:val="20"/>
          <w:szCs w:val="20"/>
          <w:color w:val="auto"/>
        </w:rPr>
      </w:pPr>
      <w:r>
        <w:rPr>
          <w:rFonts w:ascii="Times New Roman" w:cs="Times New Roman" w:eastAsia="Times New Roman" w:hAnsi="Times New Roman"/>
          <w:sz w:val="18"/>
          <w:szCs w:val="18"/>
          <w:color w:val="auto"/>
        </w:rPr>
        <w:t>We also invest in ISP Fund LP, which investments consist of money market funds and equity securities in the healthcare, pharmaceutical and biotechnology industries. Pursuant to the Partnership Agreement entered in December 2020, we became a limited partner of this partnership, and our contributions are subject to a 36-month lock-up period which restriction prevents us from having control and access to the contributions and related investments. These investments are classified as long-term investments on the unaudited condensed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Revenue is recognized when our customer obtains control of promised goods or services, in an amount that reflects the consideration which we expect to receive in exchange for those goods or services. Revenue is recognized through a five-step process: (i) identify the contract with the customer; (ii) identify the performance obligations in the contract; (iii) determine the transaction price for the contract; (iv) allocate the transaction price to the performance obligations in the contract; and (v) recognize revenue as a performance obligation is satisfied.</w:t>
      </w:r>
    </w:p>
    <w:p>
      <w:pPr>
        <w:spacing w:after="0" w:line="149" w:lineRule="exact"/>
        <w:rPr>
          <w:sz w:val="20"/>
          <w:szCs w:val="20"/>
          <w:color w:val="auto"/>
        </w:rPr>
      </w:pPr>
    </w:p>
    <w:p>
      <w:pPr>
        <w:ind w:right="160" w:firstLine="749"/>
        <w:spacing w:after="0" w:line="243" w:lineRule="auto"/>
        <w:rPr>
          <w:sz w:val="20"/>
          <w:szCs w:val="20"/>
          <w:color w:val="auto"/>
        </w:rPr>
      </w:pPr>
      <w:r>
        <w:rPr>
          <w:rFonts w:ascii="Times New Roman" w:cs="Times New Roman" w:eastAsia="Times New Roman" w:hAnsi="Times New Roman"/>
          <w:sz w:val="18"/>
          <w:szCs w:val="18"/>
          <w:color w:val="auto"/>
        </w:rPr>
        <w:t>We recognize the royalty revenue on net sales of products with respect to which we have contractual royalty rights in the period in which the royalties are earned. The net sales reports provided by our partner are based on its methodology and assumptions to estimate rebates and returns, which it monitors and adjusts regularly in light of contractual and legal obligations, historical trends, past experience and projected market conditions. Our partner may make significant adjustments to its sales based on actual results recorded, which could cause our royalty revenue to fluctuate. We have the ability to conduct periodic royalty audits to evaluate the information provided by our partner. Royalties are recognized net of amortization of capitalized fees associated with any approval and launch milestone payments made to GSK.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Research and development costs are expensed in the period that services are rendered or goods are received. Research and development costs consist of salaries and benefits, laboratory supplies and facility costs, as well as fees paid to third parties that conduct certain research and development activities on behalf of the Company’s consolidated variable interest entity, net of certain external research and development costs reimbursed under the collaboration arrangements of the Company’s consolidated variable interest entity. Non-refundable pre-payments for goods or services that will be used or rendered for future research and development activities are deferred. The Company’s consolidated variable interest entity also utilizes significant judgment and estimates to record accruals for estimated ongoing research costs based on the progress of the studies.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5"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Goodwill is recognized as the excess of the purchase price of an acquired entity over the fair value of amount assigned to assets acquired and liabilities assumed in a business combination. Goodwill and intangible assets with indefinite lives is subject to impairment testing at least annually and will be tested for impairment between annual tests if a triggering event occurs, such as changes due to circumstances that would indicate an impairment of the carrying value. Significant judgments are involved in determining if an indicator of impairment has occurred. Intangible assets with definite lives are amortized on a straight-line basis over the remaining useful life of the intangible asset.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account for our leases in accordance with Financial Accounting Standards Board (“FASB”) Accounting Standards Codification (“ASC”) 842, “Leases” (“ASC 842”). Right-of-use assets represent our right to use an underlying asset over the lease term and include any lease payments made prior to the lease commencement date and are reduced by lease incentives. Lease liabilities represent the present value of the total lease payments over the lease term, calculated using an estimated incremental borrowing rate. Lease expense is recognized on a straight-line basis over the expected lease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 Adopted by the Company</w:t>
      </w:r>
    </w:p>
    <w:p>
      <w:pPr>
        <w:spacing w:after="0" w:line="186"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 (Subtopic 470-20) and 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7"/>
          <w:szCs w:val="17"/>
          <w:color w:val="auto"/>
        </w:rPr>
        <w:t>, which is</w:t>
      </w:r>
    </w:p>
    <w:p>
      <w:pPr>
        <w:ind w:right="260"/>
        <w:spacing w:after="0" w:line="243" w:lineRule="auto"/>
        <w:rPr>
          <w:sz w:val="20"/>
          <w:szCs w:val="20"/>
          <w:color w:val="auto"/>
        </w:rPr>
      </w:pPr>
      <w:r>
        <w:rPr>
          <w:rFonts w:ascii="Times New Roman" w:cs="Times New Roman" w:eastAsia="Times New Roman" w:hAnsi="Times New Roman"/>
          <w:sz w:val="18"/>
          <w:szCs w:val="18"/>
          <w:color w:val="auto"/>
        </w:rPr>
        <w:t>intended to simplify the accounting for convertible instruments by removing certain separation models in Subtopic 470-20 for convertible instruments. Consequently, a convertible debt instrument will be accounted for as a single liability measured at its amortized cost, as long as no other features require bifurcation and recognition as derivatives. The new standard also requires the if-converted method to be used to calculate diluted earnings per share (“EPS”) for convertible instruments.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1" w:name="page12"/>
    <w:bookmarkEnd w:id="11"/>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Effective January 1, 2022, we adopted the new standard using the modified retrospective approach and assessed the effect of this adoption on the accounting for our outstanding convertible notes. The effect of the adoption on our 2025 Notes (as defined below) resulted in a decrease to the opening balance of accumulated deficit of $37.2 million, a reduction to additional paid-in capital of $65.4 million, an increase to the balance of the notes by an aggregate amount of $35.6 million, and an increase to deferred tax assets of $7.4 million. The dilutive EPS of our 2025 Notes will be computed under the if-converted method going forward. There was no financial impact from the implementation of the standard for our 2023 Notes (as defined below). Refer to Note 8, “Debt” for more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Share</w:t>
      </w:r>
    </w:p>
    <w:p>
      <w:pPr>
        <w:spacing w:after="0" w:line="175"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Basic net income per share attributable to Innoviva stockholders is computed by dividing net income attributable to Innoviva stockholders by the weighted-average number of shares of common stock outstanding. Diluted net income per share attributable to Innoviva stockholders is computed by dividing net income attributable to Innoviva stockholders by the weighted-average number of shares of common stock and dilutive potential common stock equivalents then outstanding. Dilutive potential common stock equivalents include the assumed exercise, vesting and issuance of employee stock awards using the treasury stock method, as well as common stock issuable upon assumed conversion of our convertible subordinated notes due 2023 (the “2023 Notes”), our convertible senior notes due 2025 (the “2025 Notes”) and our convertible senior notes due 2028 (the “2028 Notes”) using the if-converted method.</w:t>
      </w:r>
    </w:p>
    <w:p>
      <w:pPr>
        <w:spacing w:after="0" w:line="15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Our convertible senior notes due 2025 (the “2025 Notes”) are convertible, based on the applicable conversion rate, into cash, shares of our common stock or a combination thereof, at our election. Our current intent is to settle the principal amount of the 2025 Notes in cash upon conversion. The impact of the assumed conversion premium to diluted net income per share was historically computed using the treasury stock method. As the average market price per share of our common stock as reported on The Nasdaq Global Select Market was lower than the initial conversion price of $17.26 per share, there was no dilutive effect of the assumed conversion premium for the three and six months ended June 30, 2021. The dilutive EPS of the notes was approximately $0.01 and $0.03 per share, respectively, using the if-converted method for the three and six months ended June 30, 2022 as a result of the adoption of ASU 2020-06.</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income per share for the three and six months ended June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Innoviva stockholders, basic</w:t>
            </w: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 interest expense on 2023 Notes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interest expense on 2025 Notes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 interest expense on 2028 Notes</w:t>
            </w:r>
          </w:p>
        </w:tc>
        <w:tc>
          <w:tcPr>
            <w:tcW w:w="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Innoviva stockholders, diluted</w:t>
            </w: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90,111</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Weighted-average shares used to compute basic net income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 share attributable to Innoviva stockholders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2023 Notes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2025 Notes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2028 Notes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Dilutive effect of options and awards granted under equity</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incentive plan and employee stock purchase plan</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060" w:type="dxa"/>
            <w:vAlign w:val="bottom"/>
            <w:shd w:val="clear" w:color="auto" w:fill="CFF0FC"/>
          </w:tcPr>
          <w:p>
            <w:pPr>
              <w:ind w:left="200"/>
              <w:spacing w:after="0" w:line="16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w:t>
            </w: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CFF0FC"/>
            </w:tcBorders>
            <w:shd w:val="clear" w:color="auto" w:fill="CFF0FC"/>
          </w:tcPr>
          <w:p>
            <w:pPr>
              <w:ind w:left="340"/>
              <w:spacing w:after="0" w:line="194" w:lineRule="exact"/>
              <w:rPr>
                <w:sz w:val="20"/>
                <w:szCs w:val="20"/>
                <w:color w:val="auto"/>
              </w:rPr>
            </w:pPr>
            <w:r>
              <w:rPr>
                <w:rFonts w:ascii="Times New Roman" w:cs="Times New Roman" w:eastAsia="Times New Roman" w:hAnsi="Times New Roman"/>
                <w:sz w:val="18"/>
                <w:szCs w:val="18"/>
                <w:color w:val="auto"/>
              </w:rPr>
              <w:t>per share attributable to Innoviva stockholders</w:t>
            </w:r>
          </w:p>
        </w:tc>
        <w:tc>
          <w:tcPr>
            <w:tcW w:w="6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Innoviva stockholders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3"/>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54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5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52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506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-2559685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-2559685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-2559685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-1095375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-1078230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-1095375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-1078230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-1095375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-1078230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-795655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-778510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-795655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-778510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-795655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-778510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Anti-Dilutive Securities</w:t>
      </w:r>
    </w:p>
    <w:p>
      <w:pPr>
        <w:spacing w:after="0" w:line="188"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not included in the computation of diluted net income per share because their effect was anti-dilutive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4"/>
        </w:trPr>
        <w:tc>
          <w:tcPr>
            <w:tcW w:w="5500" w:type="dxa"/>
            <w:vAlign w:val="bottom"/>
            <w:tcBorders>
              <w:top w:val="single" w:sz="8" w:color="auto"/>
            </w:tcBorders>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options and awards granted under equity incentive</w:t>
            </w:r>
          </w:p>
        </w:tc>
        <w:tc>
          <w:tcPr>
            <w:tcW w:w="14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5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 and employee stock purchase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FF0FC"/>
          </w:tcPr>
          <w:p>
            <w:pPr>
              <w:spacing w:after="0"/>
              <w:rPr>
                <w:sz w:val="20"/>
                <w:szCs w:val="20"/>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Collaborative Arrangements</w:t>
      </w:r>
    </w:p>
    <w:p>
      <w:pPr>
        <w:spacing w:after="0" w:line="188"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We recognize royalty revenue on net sales of products with respect to which we have contractual royalty rights in the period in which the royalties are earned. Royalties, which may include adjustments of estimates of net sales in prior periods, are recognized net of amortization of capitalized fees associated with any approval and launch milestone payments made to GSK.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from Collaborative Arrangements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revenue recognized under our GSK Agreements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680" w:type="dxa"/>
            <w:vAlign w:val="bottom"/>
            <w:tcBorders>
              <w:top w:val="single" w:sz="8" w:color="auto"/>
            </w:tcBorders>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Royalties from a related party</w:t>
            </w:r>
          </w:p>
        </w:tc>
        <w:tc>
          <w:tcPr>
            <w:tcW w:w="1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RELVAR/BREO</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8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Royalties from a related party</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ANORO</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82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Royalties from a related party</w:t>
            </w:r>
          </w:p>
        </w:tc>
        <w:tc>
          <w:tcPr>
            <w:tcW w:w="2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TRELEGY</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royalties from a related party</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2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Less: amortization of capitalized fees</w:t>
            </w:r>
          </w:p>
        </w:tc>
        <w:tc>
          <w:tcPr>
            <w:tcW w:w="2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(3,456 )</w:t>
            </w:r>
          </w:p>
        </w:tc>
        <w:tc>
          <w:tcPr>
            <w:tcW w:w="28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(3,456 )</w:t>
            </w:r>
          </w:p>
        </w:tc>
        <w:tc>
          <w:tcPr>
            <w:tcW w:w="26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(6,912 )</w:t>
            </w:r>
          </w:p>
        </w:tc>
        <w:tc>
          <w:tcPr>
            <w:tcW w:w="26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(6,912 )</w:t>
            </w:r>
          </w:p>
        </w:tc>
        <w:tc>
          <w:tcPr>
            <w:tcW w:w="0" w:type="dxa"/>
            <w:vAlign w:val="bottom"/>
          </w:tcPr>
          <w:p>
            <w:pPr>
              <w:spacing w:after="0"/>
              <w:rPr>
                <w:sz w:val="1"/>
                <w:szCs w:val="1"/>
                <w:color w:val="auto"/>
              </w:rPr>
            </w:pPr>
          </w:p>
        </w:tc>
      </w:tr>
      <w:tr>
        <w:trPr>
          <w:trHeight w:val="221"/>
        </w:trPr>
        <w:tc>
          <w:tcPr>
            <w:tcW w:w="58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paid to a related party</w:t>
            </w:r>
          </w:p>
        </w:tc>
        <w:tc>
          <w:tcPr>
            <w:tcW w:w="22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Royalty revenue from GSK</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108,220</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198,279</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-564515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-564515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-564515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-564515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-170815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Consolidated Entities</w:t>
      </w:r>
    </w:p>
    <w:p>
      <w:pPr>
        <w:spacing w:after="0" w:line="17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We consolidate the financial results of Theravance Respiratory Company, LLC (“TRC”) and Entasis Therapeutics Holdings, Inc. (“Entasis”), which we have determined to be VIEs. As we have the power to direct the economically significant activities of these entities and the obligation to absorb losses of, or the right to receive benefits from them, we are the primary beneficiary of the entities. We also consolidate the financial results of ISP Fund LP (the “Partnership”), which is our partnership with Sarissa Capital Management LP (“Sarissa Capital”), as we have determined that the Partnership is a VIE and we are its primary beneficiary.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Theravance Respiratory Company, LLC</w:t>
      </w:r>
    </w:p>
    <w:p>
      <w:pPr>
        <w:spacing w:after="0" w:line="188" w:lineRule="exact"/>
        <w:rPr>
          <w:sz w:val="20"/>
          <w:szCs w:val="20"/>
          <w:color w:val="auto"/>
        </w:rPr>
      </w:pPr>
    </w:p>
    <w:p>
      <w:pPr>
        <w:ind w:right="340" w:firstLine="749"/>
        <w:spacing w:after="0" w:line="232" w:lineRule="auto"/>
        <w:rPr>
          <w:sz w:val="20"/>
          <w:szCs w:val="20"/>
          <w:color w:val="auto"/>
        </w:rPr>
      </w:pPr>
      <w:r>
        <w:rPr>
          <w:rFonts w:ascii="Times New Roman" w:cs="Times New Roman" w:eastAsia="Times New Roman" w:hAnsi="Times New Roman"/>
          <w:sz w:val="18"/>
          <w:szCs w:val="18"/>
          <w:color w:val="auto"/>
        </w:rPr>
        <w:t>We held 15% of the economic interest of TRC as of June 30, 2022 and December 31, 2021. The primary source of revenue for TRC is the royalties generated from the net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GSK. As of June 30, 2022, TRC held equity and long-term investments in InCarda Therapeutics, Inc. (“InCarda”), ImaginAb, Inc. (“ImaginAb”), Gate Neurosciences, Inc. (“Gate”) and Nanolive SA (“Nanolive”). Refer to Note 5, “Financial Instruments and Fair Value Measurements,” for more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The summarized financial information for TRC is presented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89,806</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Receivables from collaborative arrangements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42,492</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and long-term investments</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175,147</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130,971</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LLC Members’ Equity</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members’ equity</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130,719</w:t>
            </w:r>
          </w:p>
        </w:tc>
        <w:tc>
          <w:tcPr>
            <w:tcW w:w="100" w:type="dxa"/>
            <w:vAlign w:val="bottom"/>
          </w:tcPr>
          <w:p>
            <w:pPr>
              <w:spacing w:after="0"/>
              <w:rPr>
                <w:sz w:val="18"/>
                <w:szCs w:val="18"/>
                <w:color w:val="auto"/>
              </w:rPr>
            </w:pPr>
          </w:p>
        </w:tc>
      </w:tr>
      <w:tr>
        <w:trPr>
          <w:trHeight w:val="249"/>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LLC members’ equity</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175,147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-889635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 from a related party</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net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58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Changes in fair values of equity and long-term</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(9,313 )</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(254 )</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(8,884 )</w:t>
            </w:r>
          </w:p>
        </w:tc>
        <w:tc>
          <w:tcPr>
            <w:tcW w:w="28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21"/>
        </w:trPr>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Entasis Therapeutics Holdings, Inc.</w:t>
      </w:r>
    </w:p>
    <w:p>
      <w:pPr>
        <w:spacing w:after="0" w:line="175"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started investing in Entasis in 2020 as part of our capital allocation strategy of deploying cash generated from royalty income and investing in different life sciences companies. Entasis is a clinical-stage biotechnology company focused on the discovery and development of novel antibacterial products. During the second quarter of 2020, we purchased 14,000,000 shares of common stock as well as warrants to purchase 14,000,000 additional shares of common stock of Entasis for approximately $35.0 million in cash. During the third quarter of 2020, we purchased 4,672,897 shares of Entasis common stock as well as warrants to purchase 4,672,897 additional shares of its common stock for approximately $12.5 million in cash. Effective in June 2020, after certain conditions were met with respect to the sales of Entasis equity shares, Innoviva has a right to designate two members to Entasis’ board. During the second quarter of 2021, Innoviva’s wholly owned subsidiary, Innoviva Strategic Opportunities, LLC (“ISO”) entered into a securities purchase agreement with Entasis to acquire 10,000,000 shares of Entasis common stock and warrants to purchase 10,000,000 additional shares of Entasis common stock for approximately $20.0 million.</w:t>
      </w:r>
    </w:p>
    <w:p>
      <w:pPr>
        <w:spacing w:after="0" w:line="156"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fair value of Entasis’ common stock is measured based on its closing market price at each balance sheet date. The warrants have an exercise price of $2.50 per share and $2.675 per share for those warrants acquired in the second and third quarter of 2020, respectively. The warrants acquired in the second quarter of 2021 have an exercise price of $2.00 per share. All of the warrants are exercisable immediately within five years from the issuance date of the warrants and include a cashless exercise option. We use the Black-Scholes-Merton pricing model to estimate the fair value of these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 w:name="page15"/>
    <w:bookmarkEnd w:id="14"/>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On February 17, 2022, ISO entered into a securities purchase agreement with Entasis pursuant to which ISO purchased a convertible promissory note for a total purchase price of $15.0 million. The note bears an annual interest rate of 0.59% and will mature and become payable on August 18, 2022 unless it is converted at a conversion price of $1.48 before the maturity date. The financing is expected to support Entasis’ product development and operations into August 2022. With this financing, we determined that we have both (i) the power to direct the economically significant activities of Entasis and (ii) the obligation to absorb the losses, or the right to receive the benefits, that could potentially be significant to Entasis and therefore, we are the primary beneficiary of Entasis. Accordingly, we consolidated Entasis’ financial position and results of operations effective on February 17, 2022. Our equity ownership interest remained at 59.9% as of February 17, 2022, and the fair values of our holdings of Entasis common stock and warrants were remeasured and estimated at $64.5 million and $31.4 million, respectively. The remeasurement resulted in a $7.7 million loss which was included in changes in fair values of equity and long-term investments, net on the unaudited condensed consolidated statement of income for the six months ended June 30, 2022.</w:t>
      </w:r>
    </w:p>
    <w:p>
      <w:pPr>
        <w:spacing w:after="0" w:line="156"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The fair values assigned to assets acquired and liabilities assumed are based on management’s best estimates and assumptions as of the reporting date. The Company has completed a preliminary valuation and expects to finalize it as soon as practical, but no later than one year from the acquisition date. The purchase accounting for this transaction is not yet finalized.</w:t>
      </w:r>
    </w:p>
    <w:p>
      <w:pPr>
        <w:spacing w:after="0" w:line="14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values assigned to the assets acquired and liabilities assumed as of the date of the consolidation: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17,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514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538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14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shd w:val="clear" w:color="auto" w:fill="CFF0FC"/>
          </w:tcPr>
          <w:p>
            <w:pPr>
              <w:spacing w:after="0"/>
              <w:rPr>
                <w:sz w:val="17"/>
                <w:szCs w:val="17"/>
                <w:color w:val="auto"/>
              </w:rPr>
            </w:pPr>
          </w:p>
        </w:tc>
        <w:tc>
          <w:tcPr>
            <w:tcW w:w="5380" w:type="dxa"/>
            <w:vAlign w:val="bottom"/>
            <w:gridSpan w:val="3"/>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5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940" w:type="dxa"/>
            <w:vAlign w:val="bottom"/>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40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color w:val="auto"/>
        </w:rPr>
        <w:t>Entasis’ assets can only be used to settle its obligations. The following table provides the assets and liabilities of Entasis: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r>
      <w:tr>
        <w:trPr>
          <w:trHeight w:val="209"/>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141,985</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Pr>
          <w:p>
            <w:pPr>
              <w:spacing w:after="0"/>
              <w:rPr>
                <w:sz w:val="18"/>
                <w:szCs w:val="18"/>
                <w:color w:val="auto"/>
              </w:rPr>
            </w:pPr>
          </w:p>
        </w:tc>
      </w:tr>
      <w:tr>
        <w:trPr>
          <w:trHeight w:val="209"/>
        </w:trPr>
        <w:tc>
          <w:tcPr>
            <w:tcW w:w="9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8"/>
                <w:szCs w:val="18"/>
                <w:color w:val="auto"/>
              </w:rPr>
            </w:pPr>
          </w:p>
        </w:tc>
      </w:tr>
      <w:tr>
        <w:trPr>
          <w:trHeight w:val="249"/>
        </w:trPr>
        <w:tc>
          <w:tcPr>
            <w:tcW w:w="90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a result of the consolidation, we recognized a non-controlling interest of $38.5 million as of February 17, 2022. Our unaudited condensed consolidated net income for the three and six months ended June 30, 2022 included the net loss attributable to Innoviva stockholders since the consolidation date of $11.7 million and $16.3 million, respectively, for Entasis.</w:t>
      </w:r>
    </w:p>
    <w:p>
      <w:pPr>
        <w:spacing w:after="0" w:line="142" w:lineRule="exact"/>
        <w:rPr>
          <w:sz w:val="20"/>
          <w:szCs w:val="20"/>
          <w:color w:val="auto"/>
        </w:rPr>
      </w:pPr>
    </w:p>
    <w:p>
      <w:pPr>
        <w:ind w:right="220" w:firstLine="749"/>
        <w:spacing w:after="0" w:line="243" w:lineRule="auto"/>
        <w:rPr>
          <w:sz w:val="20"/>
          <w:szCs w:val="20"/>
          <w:color w:val="auto"/>
        </w:rPr>
      </w:pPr>
      <w:r>
        <w:rPr>
          <w:rFonts w:ascii="Times New Roman" w:cs="Times New Roman" w:eastAsia="Times New Roman" w:hAnsi="Times New Roman"/>
          <w:sz w:val="18"/>
          <w:szCs w:val="18"/>
          <w:color w:val="auto"/>
        </w:rPr>
        <w:t>The following table sets forth the pro-forma consolidated results of operations for the three and six months ended June 30, 2022 and 2021 as if the consolidation of Entasis occurred on January 1, 2021. The unaudited supplemental pro forma net income is adjusted by (i) reducing $64.7 million positive change in fair value related to the equity investments in Entasis’ common stock and warrants for the three months ended June 30, 2021, and increasing $7.8 million and reducing $53.2 million for the six months ended June 30, 2022 and 2021 respectively, and (ii) an increase for acquisition-related costs of $0.1 million for the six months ended June 30, 2022 and a corresponding decrease related to such costs for the six months ended June 30, 2021, as if the expenses were incurred in 2021 instead of 2022. The pro forma results of operations are presented for informational purposes only and are not indicative of the results of operations that would have been achieved if the consolidation had taken place on the dates noted above, or of results that may occur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108,220</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100,806</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198,279</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144,490</w:t>
            </w: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Innoviva stockholders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116,130</w:t>
            </w:r>
          </w:p>
        </w:tc>
        <w:tc>
          <w:tcPr>
            <w:tcW w:w="10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July 11, 2022, we announced the completion of our acquisition of Entasis by purchasing the remaining portion of noncontrolling interest.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“Subsequent Events,” for more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ISP Fund LP</w:t>
      </w:r>
    </w:p>
    <w:p>
      <w:pPr>
        <w:spacing w:after="0" w:line="1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December 2020, Innoviva Strategic Partners LLC, our wholly owned subsidiary (“Strategic Partners”), contributed $300.0 million to ISP Fund LP (the “Partnership”) for investing in “long” positions in the healthcare, pharmaceutical and biotechnology sectors and became a limited partner. The general partner of the Partnership (“General Partner”) is an affiliate of Sarissa Capital.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 w:name="page17"/>
    <w:bookmarkEnd w:id="16"/>
    <w:p>
      <w:pPr>
        <w:jc w:val="both"/>
        <w:ind w:right="620" w:firstLine="749"/>
        <w:spacing w:after="0" w:line="258" w:lineRule="auto"/>
        <w:rPr>
          <w:sz w:val="20"/>
          <w:szCs w:val="20"/>
          <w:color w:val="auto"/>
        </w:rPr>
      </w:pPr>
      <w:r>
        <w:rPr>
          <w:rFonts w:ascii="Times New Roman" w:cs="Times New Roman" w:eastAsia="Times New Roman" w:hAnsi="Times New Roman"/>
          <w:sz w:val="18"/>
          <w:szCs w:val="18"/>
          <w:color w:val="auto"/>
        </w:rPr>
        <w:t>The Partnership Agreement provides for Sarissa Capital to receive management fees from the Partnership, payable quarterly in advance, measured based on the Net Asset Value of Strategic Partners’ capital account in the Partnership. In addition, General Partner is entitled to an annual performance fee based on the Net Profits of the Partnership during the annual measurement period.</w:t>
      </w:r>
    </w:p>
    <w:p>
      <w:pPr>
        <w:spacing w:after="0" w:line="14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Partnership Agreement includes a lock-up period of thirty-six months after which Strategic Partners is entitled to make withdrawals from the Partnership as of such lock-up expiration date and each anniversary thereafter, subject to certain limitations.</w:t>
      </w:r>
    </w:p>
    <w:p>
      <w:pPr>
        <w:spacing w:after="0" w:line="134" w:lineRule="exact"/>
        <w:rPr>
          <w:sz w:val="20"/>
          <w:szCs w:val="20"/>
          <w:color w:val="auto"/>
        </w:rPr>
      </w:pPr>
    </w:p>
    <w:p>
      <w:pPr>
        <w:jc w:val="both"/>
        <w:ind w:right="400" w:firstLine="749"/>
        <w:spacing w:after="0" w:line="245" w:lineRule="auto"/>
        <w:rPr>
          <w:sz w:val="20"/>
          <w:szCs w:val="20"/>
          <w:color w:val="auto"/>
        </w:rPr>
      </w:pPr>
      <w:r>
        <w:rPr>
          <w:rFonts w:ascii="Times New Roman" w:cs="Times New Roman" w:eastAsia="Times New Roman" w:hAnsi="Times New Roman"/>
          <w:sz w:val="18"/>
          <w:szCs w:val="18"/>
          <w:color w:val="auto"/>
        </w:rPr>
        <w:t>In May 2021, Strategic Partners received a distribution of $110.0 million from the Partnership to provide funding to Innoviva for a strategic repurchase of shares held by GSK. On March 30, 2022, Strategic Partners made an additional capital contribution of $110.0 million to the Partnership pursuant to the letter agreement entered into between Strategic Partners, the Partnership and Sarissa Capital Fund GP LP on May 20, 2021. The capital contribution is subject to a 36-month lock up period from the contribution date.</w:t>
      </w:r>
    </w:p>
    <w:p>
      <w:pPr>
        <w:spacing w:after="0" w:line="153"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As of June 30, 2022, we held approximately 100% of the economic interest of the Partnership. As of June 30, 2022 and December 31, 2021, total assets of the Partnership were $306.9 million and $195.8 million, respectively, of which the majority was attributable to equity and long-term investments, and total liabilities were $6.4 million and $0.2 million, respectively. The partnership’s assets can only be used to settle its own obligations. During the three and six months ended June 30, 2022, we recorded $0.5 million and $0.7 million, respectively, of net investment-related expenses incurred by the Partnership, and $6.5 million and $4.4 million, respectively, of net negative changes in fair values of equity and long-term investments on the unaudited condensed consolidated statements of income. During the three and six months ended June 30, 2021, we recorded $0.9 million and $1.3 million, respectively, of net investment-related expenses incurred by the Partnership, and $25.2 million and $31.0 million, respectively, of net positive changes in fair values of equity and long-term investments on the unaudited condensed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Financial Instruments and Fair Value Measurements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Armata</w:t>
      </w:r>
    </w:p>
    <w:p>
      <w:pPr>
        <w:spacing w:after="0" w:line="175" w:lineRule="exact"/>
        <w:rPr>
          <w:sz w:val="20"/>
          <w:szCs w:val="20"/>
          <w:color w:val="auto"/>
        </w:rPr>
      </w:pPr>
    </w:p>
    <w:p>
      <w:pPr>
        <w:jc w:val="both"/>
        <w:ind w:right="380" w:firstLine="749"/>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Innoviva acquired 8,710,800 shares of common stock as well as warrants to purchase 8,710,800 additional shares of common stock of Armata Pharmaceuticals, Inc. (“Armata”) for approximately $25.0 million in cash. Armata is a clinical stage biotechnology company focused on precisely targeted bacteriophage therapeutics for antibiotic-resistant infections.</w:t>
      </w:r>
    </w:p>
    <w:p>
      <w:pPr>
        <w:spacing w:after="0" w:line="12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During the first quarter of 2021, ISO entered into a securities purchase agreement with Armata to acquire 6,153,847 shares of Armata common stock and warrants to purchase 6,153,847 additional shares of Armata common stock for approximately $20.0 million. Armata also entered into a voting agreement with the Company and ISO, pursuant to which the Company and ISO agreed not to vote or take any action by written consent with respect to any common shares held by the Company and ISO that represent, in the aggregate, more than 49.5% of the total number of shares of Armata’s common stock for voting on the matters related to election or removal of Armata’s board members. The voting agreement will expire the earlier of the second anniversary of the agreement effective date and approval by the FDA of any of Armata’s product candidates for marketing and commercial distribution. During the fourth quarter of 2021, ISO also purchased an additional 1,212,122 shares of Armata common stock for approximately $4.0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On February 9, 2022, ISO entered into a securities purchase agreement with Armata to acquire 9,000,000 shares of Armata common stock and warrants to purchase 4,500,000 additional shares of common stock with an exercise price of $5.00 per share for $45.0 million. The investment closed in two tranches on February 9, 2022 and March 31, 2022. The investment is intended to aid Armata in advancing its clinical pipeline and strengthening its bacteriophage platform. On February 9, 2022, Armata also entered a second amended and restated voting agreement with the Company and ISO, pursuant to which the Company and ISO agreed not to vote or take any action by written consent with respect to any common shares held by the Company and ISO that represent, in the aggregate, more than 49.5% of the total number of shares of Armata’s common stock for voting on the matters related to election or removal of Armata’s board members or amend the bylaws of Armata to reduce the maximum number of directors or set the number of directors who may serve on the board of Armata. The voting agreement will expire the earlier of the second anniversary of the agreement effective date and approval by the FDA of any of Armata’s product candidates for marketing and commercial distribution. In addition, as of February 9, 2022, Armata entered into an amended and restated investor rights agreement with the Company and ISO, pursuant to which for as long as the Company and ISO hold at least 12.5% of the outstanding shares of Armata’s common stock on a fully-diluted, the Company and ISO shall have the right to designate two directors to Armata’s board of directors, and for so long as the Company and ISO hold at least 8%, but less than 12.5%, of the outstanding shares of Armata’s common stock on a fully-diluted basis, the Company and ISO shall have the right to designate one director to Armata’s board of directors, subject to certain conditions and qualifications set forth in the amended and restated investor rights agreement. As of June 30, 2022, three of the eight members of Armata’s board of directors are also members of the board of directors of Innoviva. As of June 30, 2022 and December 31, 2021, we owned approximately 69.4% and 59.3%, respectively, of Armata’s common stock.</w:t>
      </w:r>
    </w:p>
    <w:p>
      <w:pPr>
        <w:spacing w:after="0" w:line="16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The investments in Armata provide Innoviva and ISO the ability to have significant influence, but not control over Armata’s operations. Armata’s business and affairs are managed under the direction of its board of directors, which Innoviva and ISO do not control. Based on our evaluation, we determined that Armata is a VIE, but Innoviva and ISO are not the primary beneficiary of the VIE. We continue to elect the fair value option to account for both Armata’s common stock and warrants. The fair value of Armata’s common stock is measured based on its closing market price. The warrants purchased in 2020, 2021 and 2022 have an exercise price of $2.87, $3.25 and $5.00 per share, respectively. All warrants are exercisable immediately within five years from the issuance date of the warrants and include a cashless exercise option. We use the Black-Scholes-Merton pricing model to estimate the fair value of these warrants with the following input assumptions: Armata’s closing market price on the valuation date, the risk-free interest rate computed based on the U.S. Treasury yield, the remaining contractual term as the expected term, and the expected stock price volatility calculated based on the historical volatility of the common stock of Armata and its peer companies.</w:t>
      </w:r>
    </w:p>
    <w:p>
      <w:pPr>
        <w:spacing w:after="0" w:line="158"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As of June 30, 2022, the fair values of our holdings of Armata common stock and warrants were estimated at $97.6 million and $47.1 million, respectively. As of December 31, 2021, the fair values of our holdings of Armata common stock and warrants were estimated at $88.1 million and $58.6 million, respectively. The total fair value of both financial instruments in the amount of $144.7 million and $146.7 million was recorded as equity and long-term investments on the unaudited condensed consolidated balance sheets as of June 30, 2022 and December 31, 2021, respectively. During the three and six months ended June 30, 2022, we recorded $42.8 million and $47.0 million unrealized loss, respectively, as changes in fair values of equity and long-term investments, net on the unaudited condensed consolidated statements of income. During the three and six months ended June 30, 2021, we recorded $24.3 million unrealized loss and $36.9 million unrealized gains, respectively, as changes in fair values of equity and long-term investments, net on the unaudited condensed consolidated statements of income.</w:t>
      </w:r>
    </w:p>
    <w:p>
      <w:pPr>
        <w:spacing w:after="0" w:line="15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summarized financial information, including the portion we do not own, is presented for Armata on a one quarter lag regardless of the date of our investments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(14,823 )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(11,888 )</w:t>
            </w: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(8,774 )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(14,821 )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(12,119 )</w:t>
            </w:r>
          </w:p>
        </w:tc>
      </w:tr>
      <w:tr>
        <w:trPr>
          <w:trHeight w:val="850"/>
        </w:trPr>
        <w:tc>
          <w:tcPr>
            <w:tcW w:w="3540" w:type="dxa"/>
            <w:vAlign w:val="bottom"/>
          </w:tcPr>
          <w:p>
            <w:pPr>
              <w:spacing w:after="0"/>
              <w:rPr>
                <w:sz w:val="24"/>
                <w:szCs w:val="24"/>
                <w:color w:val="auto"/>
              </w:rPr>
            </w:pP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54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InCarda</w:t>
      </w:r>
    </w:p>
    <w:p>
      <w:pPr>
        <w:spacing w:after="0" w:line="18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18"/>
          <w:szCs w:val="18"/>
          <w:color w:val="auto"/>
        </w:rPr>
        <w:t>During the third quarter of 2020, TRC purchased 20,469,432 shares of Series C preferred stock and a warrant to purchase 5,117,358 additional shares of Series C preferred stock of InCarda Therapeutics, Inc. (“InCarda”) (the “InCarda 2020 Warrant”) for $15.8 million, which includes $0.8 million of transaction costs. InCarda is a privately held biopharmaceutical company focused on developing inhaled therapies for cardiovascular diseases. The investment is intended to fund the ongoing clinical development of InRhythm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(flecainide for inhalation), the company’s lead program, for the treatment of a recent-onset episode of paroxysmal atrial fibrillation. TRC has the right to designate one member to InCarda’s board. As of June 30, 2022, one of InCarda’s eight board members was designated by TRC. The InCarda 2020 Warrant is exercisable immediately with an exercise price of $0.7328 per share. In September 2021, TRC and InCarda entered into an amendment to extend the expiration date of the InCarda 2020 Warrant from October 6, 2021 to March 31, 2022. On March 9, 2022, TRC and InCarda entered into an amendment to further extend the expiration date of the InCarda 2020 Warrant from March 31, 2022 to March 31, 2023. The InCarda 2020 Warrant is recorded at fair value and subject to remeasurement at each balance sheet date.</w:t>
      </w:r>
    </w:p>
    <w:p>
      <w:pPr>
        <w:spacing w:after="0" w:line="158"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On March 9, 2022, TRC entered into a Note and Warrant Purchase Agreement (the “InCarda Agreement”) with InCarda to acquire a convertible promissory note (the “InCarda Convertible Note”) and warrants (the “InCarda 2022 Warrant”) for $0.7 million. The InCarda Convertible Note bears an annual interest rate of 6% and will convert into Series D preferred stock upon a qualified financing, non-qualified financing, or maturity conversion. A qualified financing is defined as the first issuance or series of related issuances by InCarda of its equity securities following March 9, 2022 from which InCarda receives immediately available gross proceeds of at least $10.0 million (excluding the aggregate amount of any notes converted into equity securities pursuant to the conversion of notes or any other debt securities converted into equity securities) (the “Qualified Financing Amount”). A non-qualified financing is defined as the first issuance or series of related issuances by InCarda of its equity securities following March 9, 2022 from which InCarda receives immediately available gross proceeds of less than the Qualified Financing Amount. The InCarda 2022 Warrant entitles TRC to purchase a number of shares of equity securities equal to 100% of the principal amount of the InCarda Convertible Note divided by the number of shares issued in InCarda’s next equity financing, which is defined as the earliest to occur of specific financing events, including capital raises through public offerings. The InCarda 2022 Warrant expires on March 9, 2027. The InCarda Convertible Note and InCarda 2022 Warrant are measured at fair value.</w:t>
      </w:r>
    </w:p>
    <w:p>
      <w:pPr>
        <w:spacing w:after="0" w:line="158"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On June 15, 2022, the principal amount and the accrued interest of the InCarda Convertible Note were converted into equity securities. In addition, TRC participated in InCarda’s Series D preferred stock financing by investing $2.3 million. In connection with the new round of financing, InCarda recapitalized its equity structure resulting in TRC owning 4,093,886 shares of InCarda’s common stock, 37,350 shares of its Series A-1 preferred stock, 20,469,432 shares of its Series C preferred stock, 8,771,780 shares of its Series D-1 preferred stock, 3,369,802 shares of its Series D-2 preferred stock, a warrant to purchase 5,117,358 shares of its Series C preferred stock at $0.73 per share and a warrant to purchase 2,490,033 shares of its Series D-2 preferred stock at $0.26 per share.</w:t>
      </w:r>
    </w:p>
    <w:p>
      <w:pPr>
        <w:spacing w:after="0" w:line="158"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As of June 30, 2022 and December 31, 2021, TRC held 8.9% and 13.0%, respectively, of InCarda equity ownership. The investment in InCarda does not provide TRC the ability to control or have significant influence over InCarda’s operations. Based on our evaluation, we determined that InCarda is a VIE, but TRC is not the primary beneficiary of the VIE.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Due to InCarda’s equity recapitalization in the second quarter of 2022, TRC reassessed the value of its investments in InCarda using the Option Pricing Model Backsolve valuation methodology. Key assumptions used in the valuation model include an expected holding period of two years, a risk free interest rate of 3.2%, a dividend yield of 0.0% and an estimated volatility of 122.0%. The estimated volatility is calculated based on the historical volatility of a selected peer group of public companies comparable to InCarda. We recognized an impairment charge of $9.0 million. There was no impairment or other change to the value of our investments in InCarda as of December 31, 2021.</w:t>
      </w:r>
    </w:p>
    <w:p>
      <w:pPr>
        <w:spacing w:after="0" w:line="14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7"/>
          <w:szCs w:val="17"/>
          <w:color w:val="auto"/>
        </w:rPr>
        <w:t>As of June 30, 2022, we recorded $7.2 million in fair value of InCarda's Series C preferred stock, Series C warrants and Series D warrants (the "InCarda Preferred Stock Warrants"), and $3.2 million for InCarda's Series D-1 preferred stock, Series D-2 preferred stock, and common stock using the measurement alternative. As of December 31, 2021, we recorded $0.4 million in fair value of InCarda’s 2020 Warrants and $15.8 million for the investment in InCarda’s Series C preferred stock using the measurement alternative. During the three and six months ended June 30, 2022, we recorded $9.6 million and $9.0 million in net unrealized loss, respectively, as changes in fair values of equity and long-term investments, net on the unaudited condensed consolidated statements of income. During the three and six months ended June 30, 2021, we recorded $0.3 million and $0.7 million of unrealized loss, respectively, as changes in fair values of equity and long-term investments, net on the unaudited condensed consolidated statements of income.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ImaginAb</w:t>
      </w:r>
    </w:p>
    <w:p>
      <w:pPr>
        <w:spacing w:after="0" w:line="188" w:lineRule="exact"/>
        <w:rPr>
          <w:sz w:val="20"/>
          <w:szCs w:val="20"/>
          <w:color w:val="auto"/>
        </w:rPr>
      </w:pPr>
    </w:p>
    <w:p>
      <w:pPr>
        <w:ind w:right="160" w:firstLine="749"/>
        <w:spacing w:after="0" w:line="264" w:lineRule="auto"/>
        <w:rPr>
          <w:sz w:val="20"/>
          <w:szCs w:val="20"/>
          <w:color w:val="auto"/>
        </w:rPr>
      </w:pPr>
      <w:r>
        <w:rPr>
          <w:rFonts w:ascii="Times New Roman" w:cs="Times New Roman" w:eastAsia="Times New Roman" w:hAnsi="Times New Roman"/>
          <w:sz w:val="17"/>
          <w:szCs w:val="17"/>
          <w:color w:val="auto"/>
        </w:rPr>
        <w:t>During the first quarter of 2021, TRC entered into a securities purchase agreement with ImaginAb, Inc. to purchase 4,051,724 shares of ImaginAb Series C preferred stock for $4.7 million. On the same day, TRC also entered into a securities purchase agreement with one of ImaginAb’s common stockholders to purchase 4,097,157 shares of ImaginAb common stock for $1.3 million. ImaginAb is a privately held biotechnology company focused on clinically managing cancer and autoimmune diseases via molecular imaging. $0.4 million was incurred for investment due diligence costs and execution and recorded as part of the equity investment on the condensed consolidated balance sheets. As of June 30, 2022, one of ImaginAb’s five board members is designated by TRC. As of June 30, 2022 and December 31, 2021, TRC held 14.4% and 14.5% of ImaginAb equity ownership, respectively.</w:t>
      </w:r>
    </w:p>
    <w:p>
      <w:pPr>
        <w:spacing w:after="0" w:line="126"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The investment in ImaginAb does not provide TRC the ability to control or have significant influence over ImaginAb’s operations. Based on our evaluation, we determined that ImaginAb is a VIE, but TRC is not the primary beneficiary of the VIE. Because ImaginAb’s equity securities are not publicly traded and do not have a readily determinable fair value, we have accounted for our investment in ImaginAb’s Series C preferred stock and common stock using the measurement alternative.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As of June 30, 2022 and December 31, 2021, $6.4 million was recorded as equity and long-term investments on the unaudited condensed consolidated balance sheets and there was no change to the fair value of our investment.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 in Gate Neurosciences</w:t>
      </w:r>
    </w:p>
    <w:p>
      <w:pPr>
        <w:spacing w:after="0" w:line="17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During the fourth quarter of 2021, TRC entered into a Convertible Promissory Note Purchase Agreement with Gate Neurosciences, Inc. (“Gate”) to acquire a convertible promissory note (the “Gate Convertible Note”) with a principal amount of $15.0 million. Gate is a privately held biopharmaceutical company focused on developing the next generation of targeted nervous system therapies, leveraging precision medicine approaches to develop breakthrough drugs for psychiatric and neurologic diseases. The investment is intended to fund its ongoing development and research. The Gate Convertible Note bears an annual interest rate of 8% and will convert into shares of common stock of Gate upon a qualified event or into shares of shadow preferred stock of Gate (“Shadow Preferred”) upon a qualified financing. A qualifying event can be a qualified initial price offering, a qualified merger, or a merger with a special-purpose acquisition company (“SPAC”).</w:t>
      </w:r>
    </w:p>
    <w:p>
      <w:pPr>
        <w:spacing w:after="0" w:line="15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number of common stock shares to be issued in a qualified event shall be equal to the amount due on the conversion date divided by the lesser of a capped conversion price (the “Capped Conversion Price”) and the qualified event price (the “Qualified Event Price”). The Capped Conversion Price is calculated as $50.0 million divided by the number of shares of common stock outstanding at such time on a fully diluted basis. The Qualified Event Price is the price per share determined by the qualified event. A qualified financing is a sale or series of sales of preferred stock where (i) at least 50 percent of counterparties are not existing shareholders, (ii) net proceeds to Gate are at least $35.0 million, and (iii) the stated or implied equity valuation of Gate is at least $80.0 million. Shadow Preferred means preferred stock having identical rights, preferences and restrictions as the preferred stock that would be issued in a qualified financing.</w:t>
      </w:r>
    </w:p>
    <w:p>
      <w:pPr>
        <w:spacing w:after="0" w:line="14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investment in Gate does not provide TRC the ability to control or have significant influence over Gate’s operations. Based on our evaluation, we determined that Gate is a VIE, but TRC is not the primary beneficiary of the VIE. We have accounted for the Gate Convertible Note as a trading security, measured at fair value using a Monte Carlo simulation model with the probability of certain qualified events and the assumptions of equity value of Gate, risk-free rate, expected stock price volatility of its peer companies, and the time until a financing is raised. TRC has the right to designate one board member to Gate’s board. As of June 30, 2022, TRC has designated a board member to Gate’s board, which currently consists of three directors. As of June 30, 2022 and December 31, 2021, the fair value of the Gate Convertible Note was estimated at $15.2 million and $15.1 million, respectively, and recorded as equity and long-term investments on the unaudited condensed consolidated balance sheets. We recorded $0.3 million and $0.1 million unrealized gain, respectively, as changes in fair values of equity and long-term investments, net on the unaudited condensed consolidated statement of income for the three and six months ended June 30, 2022.</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Nanolive</w:t>
      </w:r>
    </w:p>
    <w:p>
      <w:pPr>
        <w:spacing w:after="0" w:line="188"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On February 18, 2022, TRC entered into an investment and shareholders agreement with Nanolive SA (“Nanolive”) to purchase 18,750,000 shares of Nanolive Series C preferred stock for $9.8 million (equivalent to 9.0 million CHF). Nanolive SA is a Swiss privately held life sciences company focused on developing breakthrough imaging solutions that accelerate research in growth industries such as drug discovery and cell therapy. $0.7 million was incurred for investment due diligence costs and execution and recorded as part of the equity and long-term investment on the condensed consolidated balance sheets. TRC has the right to designate one member to Nanolive’s board. TRC also has the right to designate another member, who will be mutually acceptable to TRC and another majority common stockholder, to Nanolive’s board. As of June 30, 2022, no Innoviva designees are serving on Nanolive’s seven-member board. As of June 30, 2022, TRC held 16.1% of Nanolive equity ownership.</w:t>
      </w:r>
    </w:p>
    <w:p>
      <w:pPr>
        <w:spacing w:after="0" w:line="14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investment in Nanolive does not provide TRC the ability to control or have significant influence over Nanolive’s operations. Based on our evaluation, we determined that Nanolive is a VIE, but TRC is not the primary beneficiary of the VIE. Because Nanolive’s equity securities are not publicly traded and do not have a readily determinable fair value, we have accounted for our investment in Nanolive’s Series C preferred stock using the measurement alternative.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As of June 30, 2022, $10.6 million was recorded as equity and long-term investments on the unaudited condensed consolidated balance sheets and there was no change to the fair value of our investment.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8"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Our equity and long-term investments are measured at fair value on a recurring basis and our debt is carried at amortized cost basis. Equity investments accounted for using the measurement alternative are valued using Level 3 inputs.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Measurements as of June 30, 2022 Using:</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8"/>
              <w:spacing w:after="0" w:line="15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6"/>
              <w:spacing w:after="0" w:line="15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Instruments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Investments held by ISP Fund LP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Armata Common Stock</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Armata Warrants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InCarda Series C Preferred Stock</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InCarda Preferred Stock Warrants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debt investment - Gate Note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estimated fair value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558,819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Debt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225,530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fair value of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-744220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-727075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-744220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-727075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-744220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-727075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760" w:right="80" w:hanging="752"/>
        <w:spacing w:after="0" w:line="222" w:lineRule="auto"/>
        <w:tabs>
          <w:tab w:leader="none" w:pos="76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investments held by ISP Fund LP, consisted of $201.6 million in equity investments, which included a private placement position of $2.1 million, $35.3 million in money market funds and $70.0 million in cash. Our total capital contribution of $300.0 million is subject to a 36-month lock-up period from the date of such capital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1617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20" w:type="dxa"/>
            <w:vAlign w:val="bottom"/>
            <w:tcBorders>
              <w:bottom w:val="single" w:sz="8" w:color="auto"/>
            </w:tcBorders>
            <w:gridSpan w:val="10"/>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Estimated Fair Value Measurements as of December 31, 2021 Using:</w:t>
            </w:r>
          </w:p>
        </w:tc>
        <w:tc>
          <w:tcPr>
            <w:tcW w:w="100" w:type="dxa"/>
            <w:vAlign w:val="bottom"/>
          </w:tcPr>
          <w:p>
            <w:pPr>
              <w:spacing w:after="0"/>
              <w:rPr>
                <w:sz w:val="16"/>
                <w:szCs w:val="16"/>
                <w:color w:val="auto"/>
              </w:rPr>
            </w:pPr>
          </w:p>
        </w:tc>
      </w:tr>
      <w:tr>
        <w:trPr>
          <w:trHeight w:val="158"/>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7"/>
              <w:spacing w:after="0" w:line="157"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Instruments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Investments held by ISP Fund LP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195,745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Armata Common Stock</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Armata Warrants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Entasis Common Stock</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Entasis Warrants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InCarda Warrants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debt investment - Gate Note</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 measured at estimated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489,704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606,792</w:t>
            </w:r>
          </w:p>
        </w:tc>
        <w:tc>
          <w:tcPr>
            <w:tcW w:w="100" w:type="dxa"/>
            <w:vAlign w:val="bottom"/>
          </w:tcPr>
          <w:p>
            <w:pPr>
              <w:spacing w:after="0"/>
              <w:rPr>
                <w:sz w:val="18"/>
                <w:szCs w:val="18"/>
                <w:color w:val="auto"/>
              </w:rPr>
            </w:pPr>
          </w:p>
        </w:tc>
      </w:tr>
      <w:tr>
        <w:trPr>
          <w:trHeight w:val="20"/>
        </w:trPr>
        <w:tc>
          <w:tcPr>
            <w:tcW w:w="58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Debt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261,769</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fair value of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496,267</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-753110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-753110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-753110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-170815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760" w:right="100" w:hanging="752"/>
        <w:spacing w:after="0" w:line="223" w:lineRule="auto"/>
        <w:tabs>
          <w:tab w:leader="none" w:pos="7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investments held by ISP Fund LP, consisted of $192.2 million equity investments and $3.5 million money market funds, are subject to a 36-month lock-up period from our initial contribution date,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617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2" w:name="page23"/>
    <w:bookmarkEnd w:id="22"/>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The fair values of our equity investments in Armata’s common stock and publicly traded investments held by ISP Fund LP are based on the quoted prices in active markets and are classified as Level 1 financial instruments. The fair values of the warrants of Armata classified within Level 2 are based upon observable inputs that may include benchmark yields, reported trades, broker/dealer quotes, issuer spreads, two-sided markets, benchmark securities, bids, offers, and reference data including market research publications.</w:t>
      </w:r>
    </w:p>
    <w:p>
      <w:pPr>
        <w:spacing w:after="0" w:line="149"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InCarda’s equity securities, the Gate Convertible Note, and private placement positions held by ISP Fund LP are classified as Level 3 financial instruments as these securities are not publicly traded and the assumptions used in the valuation model for valuing these securities are based on significant unobservable and observable inputs including those of publicly traded peer companies.</w:t>
      </w:r>
    </w:p>
    <w:p>
      <w:pPr>
        <w:spacing w:after="0" w:line="1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values of our 2023 Notes, 2025 Notes and 2028 Notes are based on recent trading prices of the respective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7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Goodwill and intangible assets acquired in our consolidation of Entasis were recognized at fair value as of the consolidation date, February 17, 2022. The carrying amount of goodwill as of June 30, 2022 was $5.5 million. Intangible assets with definite lives are amortized over their estimated useful lives. The carrying basis and accumulated amortization of recognized intangible assets as of June 30, 2022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life</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with determinable life</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tcPr>
          <w:p>
            <w:pPr>
              <w:spacing w:after="0"/>
              <w:rPr>
                <w:sz w:val="18"/>
                <w:szCs w:val="18"/>
                <w:color w:val="auto"/>
              </w:rPr>
            </w:pPr>
          </w:p>
        </w:tc>
      </w:tr>
      <w:tr>
        <w:trPr>
          <w:trHeight w:val="249"/>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All intangible assets are related to in-process research and development. The intangible assets with indefinite life consist of antibacterial therapeutic products. The intangible asset with determinable life consists of a contract, which commences in 2023. The useful life of this intangible asset will be determined upon commercialization of the underlying product candidate. Thus, no amortization expense of determinable assets was recognized during the period ended June 30, 2022.</w:t>
      </w:r>
    </w:p>
    <w:p>
      <w:pPr>
        <w:spacing w:after="0" w:line="14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tested at least annually for impairment, or more frequently if triggering events occur, based on the estimated fair value of the intangible asset.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87"/>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for unsettled security transactions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24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other accrued liabilities balance as of June 30, 2022 included $8.2 million related to Entasis.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 Expense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included $0.7 million and $1.0 million, respectively, related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Entasis’ equity awards, for the three and six months ended June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1,030</w:t>
            </w:r>
          </w:p>
        </w:tc>
        <w:tc>
          <w:tcPr>
            <w:tcW w:w="2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1,350</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Black-Scholes-Merton assumptions used in calculating the estimated value of stock options granted by Innoviva on the date of grant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30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 - 3.03%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- 3.03%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 - 1.13%</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5.50 - 6.11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5.50 - 6.11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- 39.0%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45.0 %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- 40.5%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20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0.0 %</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2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2"/>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estimated fair value of stock options granted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$6.98 - $7.18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$6.98 - $7.73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debt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549,704</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433,484</w:t>
            </w:r>
          </w:p>
        </w:tc>
        <w:tc>
          <w:tcPr>
            <w:tcW w:w="100" w:type="dxa"/>
            <w:vAlign w:val="bottom"/>
            <w:tcBorders>
              <w:top w:val="single" w:sz="8" w:color="CFF0FC"/>
            </w:tcBorders>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(10,454 )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(38,831 )</w:t>
            </w:r>
          </w:p>
        </w:tc>
      </w:tr>
      <w:tr>
        <w:trPr>
          <w:trHeight w:val="209"/>
        </w:trPr>
        <w:tc>
          <w:tcPr>
            <w:tcW w:w="75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 net</w:t>
            </w: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539,250</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Borders>
              <w:top w:val="single" w:sz="8" w:color="CFF0FC"/>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Less: Current portion of long-term debt, net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96,072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long-term debt, net</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443,178</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-761365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-478790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Subordinated Notes Due 2023</w:t>
      </w:r>
    </w:p>
    <w:p>
      <w:pPr>
        <w:spacing w:after="0" w:line="188"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January 2013, we completed an underwritten public offering of $287.5 million aggregate principal amount of our 2023 Notes, which will mature on January 15, 2023. The financing raised proceeds, net of issuance costs, of approximately $281.2 million, less $36.8 million to purchase two privately negotiated capped call option transactions in connection with the issuance of the notes. The 2023 Notes bear interest at the rate of 2.125% per year that is payable semi-annually in arrears in cash on January 15 and July 15 of each year, beginning on July 15, 2013.</w:t>
      </w:r>
    </w:p>
    <w:p>
      <w:pPr>
        <w:spacing w:after="0" w:line="149"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18"/>
          <w:szCs w:val="18"/>
          <w:color w:val="auto"/>
        </w:rPr>
        <w:t>At the option of the holders, the 2023 Notes may be converted into fully paid and non-assessable shares of our common stock prior to the close of the business on the second business day immediately preceding the final maturity date. The initial conversion rate was 35.9903 shares per $1,000 principal amount of the 2023 Notes, subject to customary anti-dilution adjustment in certain circumstances, which represented an initial conversion price of approximately $27.79 per share.</w:t>
      </w:r>
    </w:p>
    <w:p>
      <w:pPr>
        <w:spacing w:after="0" w:line="15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event of default or a fundamental change (as defined in the indenture governing the 2023 Notes), holders of the 2023 Notes may require us to repurchase all or a portion of their 2023 Notes at price equal to 100% of the principal amount of the 2023 Notes, plus any accrued and unpaid interest.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859" w:right="299" w:bottom="1440" w:gutter="0" w:footer="0" w:header="0"/>
        </w:sectPr>
      </w:pPr>
    </w:p>
    <w:bookmarkStart w:id="24" w:name="page25"/>
    <w:bookmarkEnd w:id="24"/>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In connection with the offering of the 2023 Notes, we entered into two privately negotiated capped call option transactions with a single counterparty. The capped call option transaction is an integrated instrument consisting of a call option on our common stock purchased by us with a strike price equal to the initial conversion price of $27.79 per share for the underlying number of shares and a cap price of $38.00 per share, both of which are subject to adjustments consistent with the 2023 Notes. The cap component is economically equivalent to a call option sold by us for the underlying number of shares with an initial strike price of $38.00 per share. As an integrated instrument, the settlement of the capped call coincides with the due date of the convertible debt. Upon settlement, we would receive from our hedge counterparty a number of shares of our common shares that would range from zero, if the stock price was below $27.79 per share, to a maximum of 2,779,659 shares, if the stock price is above $38.00 per share. However, if the market price of our common stock, as measured under the terms of the capped call transactions, exceeds $38.00 per share, there is no incremental anti-dilutive benefit from the capped call.</w:t>
      </w:r>
    </w:p>
    <w:p>
      <w:pPr>
        <w:spacing w:after="0" w:line="142"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As a result of the partial conversion by certain holders of the 2023 Notes in July 2014, and dividends declared and paid in 2014 and 2015, the conversion rate with respect to our 2023 Notes was adjusted in total to 50.5818 shares of our common stock per $1,000 principal amount of the 2023 Notes, which represents a conversion price of approximately $19.77 per share. As a result of the conversion rate adjustments, the capped call strike price and cap price were also adjusted to $19.77 and $27.04, respectively.</w:t>
      </w:r>
    </w:p>
    <w:p>
      <w:pPr>
        <w:spacing w:after="0" w:line="14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During 2016, we retired a portion of our 2023 Notes with a face value of $14.1 million and carrying value of $13.9 million by way of purchase in the open market.</w:t>
      </w:r>
    </w:p>
    <w:p>
      <w:pPr>
        <w:spacing w:after="0" w:line="134"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On March 7, 2022, we used $165.6 million from the sale of the 2028 Notes to repurchase 60% of the 2023 Notes with a face value of $144.8 million. The carrying value of the repurchased 2023 Notes was $144.5 million. Accrued interest was $0.4 million and unamortized debt issuance costs were $0.3 million on the date of repurchase. We recognized a loss on the extinguishment of the 2023 Notes of $20.7 million in other expense, net in the unaudited condensed consolidated statement of operations. The repurchase reduced the outstanding principal balance to $96.2 million and unamortized debt issuance costs to $0.2 million. The effective interest rate of the 2023 Notes changed to 2.37%.</w:t>
      </w:r>
    </w:p>
    <w:p>
      <w:pPr>
        <w:spacing w:after="0" w:line="15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On April 18, 2022, certain 2023 Notes holders converted their notes of $3.0 thousand into Innoviva’s common stock. The outstanding principal balance was reduced slightly to $96.2 million.</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outstanding 2023 Notes balances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80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96,204</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 net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(620 )</w:t>
            </w:r>
          </w:p>
        </w:tc>
      </w:tr>
      <w:tr>
        <w:trPr>
          <w:trHeight w:val="209"/>
        </w:trPr>
        <w:tc>
          <w:tcPr>
            <w:tcW w:w="580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96,072</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240,364</w:t>
            </w:r>
          </w:p>
        </w:tc>
        <w:tc>
          <w:tcPr>
            <w:tcW w:w="100" w:type="dxa"/>
            <w:vAlign w:val="bottom"/>
            <w:tcBorders>
              <w:top w:val="single" w:sz="8" w:color="CFF0FC"/>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11240" w:type="dxa"/>
            <w:vAlign w:val="bottom"/>
            <w:gridSpan w:val="18"/>
          </w:tcPr>
          <w:p>
            <w:pPr>
              <w:ind w:left="7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2023 Notes for the three and six months ended June 30, 2022 and</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1,595</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1,776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-1386205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2025</w:t>
      </w:r>
    </w:p>
    <w:p>
      <w:pPr>
        <w:spacing w:after="0" w:line="18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On August 7, 2017, we completed a private placement of $192.5 million aggregate principal amount of our 2025 Notes. The proceeds include the 2025 Notes sold pursuant to the $17.5 million over-allotment option granted by us to the initial purchasers, which option was exercised in full. The 2025 Notes were sold in a private placement to qualified institutional buyers pursuant to Rule 144A under the Securities Act. The 2025 Notes are senior unsecured obligations and bear interest at a rate of 2.5% per year, payable semi-annually in arrears on February 15 and August 15 of each year, beginning on February 15, 2018.</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5" w:name="page26"/>
    <w:bookmarkEnd w:id="25"/>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The 2025 Notes are convertible, based on the applicable conversion rate, into cash, shares of our common stock or a combination thereof, at our election. The initial conversion rate for the 2025 Notes is 57.9240 shares of our common stock per $1,000 principal amount of the 2025 Notes (which is equivalent to an initial conversion price of approximately $17.26 per share), representing a 30.0% conversion premium over the last reported sale price of the Company’s common stock on August 1, 2017, which was $13.28 per share. The conversion rate is subject to customary anti-dilution adjustments in certain circumstances. The 2025 Notes will mature on August 15, 2025, unless repurchased or converted in accordance with their terms prior to such date. Prior to February 15, 2025, the 2025 Notes will be convertible at the option of the holders only upon the occurrence of specified events and during certain periods, as described below. From, and including, February 15, 2025, until the close of business on the second scheduled trading day immediately preceding the maturity date, the 2025 Notes will be convertible at any time.</w:t>
      </w:r>
    </w:p>
    <w:p>
      <w:pPr>
        <w:spacing w:after="0" w:line="143"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Holders of the 2025 Notes may convert all or a portion of their 2025 Notes prior to the close of business on February 15, 2025 only under the following circumstances:</w:t>
      </w:r>
    </w:p>
    <w:p>
      <w:pPr>
        <w:spacing w:after="0" w:line="134" w:lineRule="exact"/>
        <w:rPr>
          <w:sz w:val="20"/>
          <w:szCs w:val="20"/>
          <w:color w:val="auto"/>
        </w:rPr>
      </w:pPr>
    </w:p>
    <w:p>
      <w:pPr>
        <w:ind w:left="1020" w:right="260" w:hanging="504"/>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September 30, 2017, if our closing common stock price for at least 20 days out of the most recent 30 consecutive trading days of the preceding quarter is greater than 130% of the current conversion price of the 2025 Notes;</w:t>
      </w:r>
    </w:p>
    <w:p>
      <w:pPr>
        <w:spacing w:after="0" w:line="67" w:lineRule="exact"/>
        <w:rPr>
          <w:rFonts w:ascii="Times New Roman" w:cs="Times New Roman" w:eastAsia="Times New Roman" w:hAnsi="Times New Roman"/>
          <w:sz w:val="18"/>
          <w:szCs w:val="18"/>
          <w:color w:val="auto"/>
        </w:rPr>
      </w:pPr>
    </w:p>
    <w:p>
      <w:pPr>
        <w:ind w:left="1020" w:right="140" w:hanging="504"/>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consecutive business days, if the average trading price per $1,000 of Notes during the prior 10 consecutive trading days is less than 98% of the product of the our closing common stock price and the conversion rate of the 2025 Notes on such day;</w:t>
      </w:r>
    </w:p>
    <w:p>
      <w:pPr>
        <w:spacing w:after="0" w:line="53" w:lineRule="exact"/>
        <w:rPr>
          <w:rFonts w:ascii="Times New Roman" w:cs="Times New Roman" w:eastAsia="Times New Roman" w:hAnsi="Times New Roman"/>
          <w:sz w:val="18"/>
          <w:szCs w:val="18"/>
          <w:color w:val="auto"/>
        </w:rPr>
      </w:pPr>
    </w:p>
    <w:p>
      <w:pPr>
        <w:ind w:left="1020" w:right="20" w:hanging="504"/>
        <w:spacing w:after="0" w:line="31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including certain distributions, the occurrence of a fundamental changes (as defined in the indenture governing the 2025 Notes) or a transaction resulting in our common stock converting into other securities or property or assets.</w:t>
      </w:r>
    </w:p>
    <w:p>
      <w:pPr>
        <w:spacing w:after="0" w:line="85" w:lineRule="exact"/>
        <w:rPr>
          <w:sz w:val="20"/>
          <w:szCs w:val="20"/>
          <w:color w:val="auto"/>
        </w:rPr>
      </w:pPr>
    </w:p>
    <w:p>
      <w:pPr>
        <w:ind w:right="360" w:firstLine="749"/>
        <w:spacing w:after="0" w:line="281" w:lineRule="auto"/>
        <w:rPr>
          <w:sz w:val="20"/>
          <w:szCs w:val="20"/>
          <w:color w:val="auto"/>
        </w:rPr>
      </w:pPr>
      <w:r>
        <w:rPr>
          <w:rFonts w:ascii="Times New Roman" w:cs="Times New Roman" w:eastAsia="Times New Roman" w:hAnsi="Times New Roman"/>
          <w:sz w:val="18"/>
          <w:szCs w:val="18"/>
          <w:color w:val="auto"/>
        </w:rPr>
        <w:t>On or after February 15, 2025, holders of the 2025 Notes may convert their 2025 Notes at any time until the close of business on the second scheduled trading day immediately preceding the maturity date of the 2025 Notes.</w:t>
      </w:r>
    </w:p>
    <w:p>
      <w:pPr>
        <w:spacing w:after="0" w:line="109"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In event of default or a fundamental change (as defined above), holders of the 2025 Notes may require us to repurchase all or a portion of their 2025 Notes at price equal to 100% of the principal amount of the 2025 Notes, plus any accrued and unpaid interest.</w:t>
      </w:r>
    </w:p>
    <w:p>
      <w:pPr>
        <w:spacing w:after="0" w:line="109"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Effective January 1, 2022, we adopted ASU 2020-06 using a modified retrospective method, under which financial results reported in prior periods were not adjusted. The adoption of ASU 2020-06 had a material impact on the 2025 notes.</w:t>
      </w:r>
    </w:p>
    <w:p>
      <w:pPr>
        <w:spacing w:after="0" w:line="10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Prior to the adoption of the standard, we separately account for the liability and equity components of the 2025 Notes by allocating the proceeds between the liability component and the embedded conversion option (“equity component”) due to our ability to settle the conversion obligation of the 2025 Notes in cash, common stock or a combination of cash and common stock, at our option. The carrying amount of the liability component was calculated by measuring the fair value of a similar liability that does not have an associated convertible feature using the income approach. The allocation was performed in a manner that reflected our non-convertible debt borrowing rate for similar debt. The equity component of the 2025 Notes of $67.3 million was recognized as a debt discount and represents the difference between the proceeds from the issuance of the 2025 Notes and the fair value of the liability of the 2025 Notes on the date of issuance. The excess of the principal amount of the liability component over its carrying amount (“debt discount”) is amortized to interest expense using the effective interest method over the term of the 2025 Notes. The equity component is not remeasured as long as it continues to meet the conditions for equity classification. Additionally, we separated the total issuance costs of $5.4 million incurred into liability and equity components in proportion to the allocation of the initial proceeds, resulting in liability issuance costs of $3.5 million and equity issuance costs of $1.9 million. Issuance costs attributable to the liability component were amortized on a straight-line basis, which approximated the effective interest rate method, to interest expense over the term of the 2025 Notes. The issuance costs attributable to the equity component were netted against the equity component in additional paid-in capital. The effective interest rate of the liability component of the 2025 Notes was 8.87%.</w:t>
      </w:r>
    </w:p>
    <w:p>
      <w:pPr>
        <w:spacing w:after="0" w:line="159"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Upon adoption of ASU 2020-06 on January 1, 2022, we combined the liability and equity components of the 2025 Notes assuming that the instrument was accounted for as a single liability from inception to the date of adoption. We similarly combined the liability and equity components of the issuance costs. The issuance costs are presented as a deduction from the outstanding principal balance of the 2025 Notes, and are amortized on a straight-line basis over the term of the 2025 Notes under the effective interest rate method. As of January 1, 2022, the effective interest rate on the 2025 Notes was 2.88%.</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3" w:right="39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8"/>
          <w:szCs w:val="18"/>
          <w:color w:val="auto"/>
        </w:rPr>
        <w:t>Our outstanding 2025 Notes balances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80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discount and issuance costs, net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(2,265 )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(38,211 )</w:t>
            </w:r>
          </w:p>
        </w:tc>
      </w:tr>
      <w:tr>
        <w:trPr>
          <w:trHeight w:val="209"/>
        </w:trPr>
        <w:tc>
          <w:tcPr>
            <w:tcW w:w="580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190,235</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154,289</w:t>
            </w:r>
          </w:p>
        </w:tc>
        <w:tc>
          <w:tcPr>
            <w:tcW w:w="100" w:type="dxa"/>
            <w:vAlign w:val="bottom"/>
            <w:tcBorders>
              <w:top w:val="single" w:sz="8" w:color="CFF0FC"/>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component, net</w:t>
            </w:r>
          </w:p>
        </w:tc>
        <w:tc>
          <w:tcPr>
            <w:tcW w:w="2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65,361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0"/>
        </w:trPr>
        <w:tc>
          <w:tcPr>
            <w:tcW w:w="11240" w:type="dxa"/>
            <w:vAlign w:val="bottom"/>
            <w:gridSpan w:val="17"/>
          </w:tcPr>
          <w:p>
            <w:pPr>
              <w:ind w:left="7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2025 Notes for the three and six months ended June 30, 2022 and</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24"/>
                <w:szCs w:val="24"/>
                <w:color w:val="auto"/>
              </w:rPr>
            </w:pPr>
          </w:p>
        </w:tc>
        <w:tc>
          <w:tcPr>
            <w:tcW w:w="26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70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2,406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92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2,749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-1677670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-1369060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-1351915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-170815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2028</w:t>
      </w:r>
    </w:p>
    <w:p>
      <w:pPr>
        <w:spacing w:after="0" w:line="175"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In March 2022, we completed a private placement of $261.0 million aggregate principal amount of our 2028 Notes, which will mature on March 15, 2028. The proceeds include the 2028 Notes sold pursuant to the $45.0 million over-allotment option granted by us to the initial purchasers, of which $36.0 million was exercised. The 2028 Notes were sold in a private placement to qualified institutional buyers pursuant to Rule 144A under the Securities Act.</w:t>
      </w:r>
    </w:p>
    <w:p>
      <w:pPr>
        <w:spacing w:after="0" w:line="14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The net proceeds from the sale of the $261.0 million aggregate principal amount of 2028 Notes were approximately $252.6 million after deducting the initial purchasers’ discounts and commissions and our estimated offering expenses. We used approximately $21.0 million of the net proceeds from the offering to fund the cost of entering into the capped call transactions described below. In addition, we used $165.6 million of the remaining net proceeds to repurchase $144.8 million aggregate principal amount of the 2023 Notes in separate and individually negotiated transactions with certain holders of the 2023 Notes, which closed concurrently with the issuance of the 2028 Notes. We expect to use the remaining net proceeds for general corporate purposes.</w:t>
      </w:r>
    </w:p>
    <w:p>
      <w:pPr>
        <w:spacing w:after="0" w:line="15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2028 Notes bear interest at an annual rate of 2.125% that is payable semi-annually in arrears in cash on March 15 and September 15 of each year, beginning on September 15, 2022.</w:t>
      </w:r>
    </w:p>
    <w:p>
      <w:pPr>
        <w:spacing w:after="0" w:line="134"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2028 Notes are convertible, based on the applicable conversion rate, into cash, shares of our common stock or a combination thereof, at our election. The initial conversion rate was 38.1432 shares per $1,000 principal amount of the 2028 Notes, subject to customary anti-dilution adjustment in certain circumstances, which represented an initial conversion price of approximately $26.22 per share.</w:t>
      </w:r>
    </w:p>
    <w:p>
      <w:pPr>
        <w:spacing w:after="0" w:line="12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Prior to September 15, 2027, the 2028 Notes will be convertible at the option of the holders only upon the occurrence of specified events and during certain periods, and will be convertible on or after September 15, 2027, at any time until the close of business on the second scheduled trading day immediately preceding the maturity date of the Notes.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7" w:name="page28"/>
    <w:bookmarkEnd w:id="27"/>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Holders of the 2028 Notes may convert all or a portion of their 2028 Notes prior to the close of business on September 15, 2027, only under the following circumstances:</w:t>
      </w:r>
    </w:p>
    <w:p>
      <w:pPr>
        <w:spacing w:after="0" w:line="109" w:lineRule="exact"/>
        <w:rPr>
          <w:sz w:val="20"/>
          <w:szCs w:val="20"/>
          <w:color w:val="auto"/>
        </w:rPr>
      </w:pPr>
    </w:p>
    <w:p>
      <w:pPr>
        <w:ind w:left="1020" w:right="6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March 31, 2022, if our closing common stock price for at least 20 days out of the most recent 30 consecutive trading days of the preceding quarter is greater than 130% of the current conversion price of the 2028 Notes;</w:t>
      </w:r>
    </w:p>
    <w:p>
      <w:pPr>
        <w:spacing w:after="0" w:line="41" w:lineRule="exact"/>
        <w:rPr>
          <w:rFonts w:ascii="Times New Roman" w:cs="Times New Roman" w:eastAsia="Times New Roman" w:hAnsi="Times New Roman"/>
          <w:sz w:val="18"/>
          <w:szCs w:val="18"/>
          <w:color w:val="auto"/>
        </w:rPr>
      </w:pPr>
    </w:p>
    <w:p>
      <w:pPr>
        <w:ind w:left="1020" w:right="200" w:hanging="504"/>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consecutive business days, if the average trading price per $1,000 of Notes during the prior 10 consecutive trading days is less than 98% of the product of our closing common stock price and the conversion rate of the 2028 Notes on such day;</w:t>
      </w:r>
    </w:p>
    <w:p>
      <w:pPr>
        <w:spacing w:after="0" w:line="67" w:lineRule="exact"/>
        <w:rPr>
          <w:rFonts w:ascii="Times New Roman" w:cs="Times New Roman" w:eastAsia="Times New Roman" w:hAnsi="Times New Roman"/>
          <w:sz w:val="18"/>
          <w:szCs w:val="18"/>
          <w:color w:val="auto"/>
        </w:rPr>
      </w:pPr>
    </w:p>
    <w:p>
      <w:pPr>
        <w:ind w:left="1020" w:right="80" w:hanging="504"/>
        <w:spacing w:after="0" w:line="295"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including certain distributions, the occurrence of a fundamental changes (as defined in the indenture governing the 2028 Notes) or a transaction resulting in our common stock converting into other securities or property or assets.</w:t>
      </w:r>
    </w:p>
    <w:p>
      <w:pPr>
        <w:spacing w:after="0" w:line="99"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On or after September 15, 2027, holders of the 2028 Notes may convert their 2028 Notes at any time until the close of the business on the second day immediately preceding the maturity date of the 2028 Notes.</w:t>
      </w:r>
    </w:p>
    <w:p>
      <w:pPr>
        <w:spacing w:after="0" w:line="109"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18"/>
          <w:szCs w:val="18"/>
          <w:color w:val="auto"/>
        </w:rPr>
        <w:t>The 2028 Notes will be redeemable, in whole or in part, at our option at any time, and from time to time, on or after March 20, 2025, and on or before the 75th scheduled trading day immediately before the maturity date but only if the last reported sale price per share of our common stock exceeds 130% of the conversion price for a specified period of time. The redemption price will be equal to the principal amount of the 2028 Notes to be redeemed, plus accrued and unpaid interest, if any, to, but excluding, the redemption date. In addition, calling any 2028 Note for redemption will constitute a make-whole fundamental change (as defined in the indenture governing the 2028 Notes) with respect to that 2028 Note, in which case the conversion rate applicable to the conversion of that 2028 Note will be increased in certain circumstances if it is converted after it is called for redemption.</w:t>
      </w:r>
    </w:p>
    <w:p>
      <w:pPr>
        <w:spacing w:after="0" w:line="151" w:lineRule="exact"/>
        <w:rPr>
          <w:sz w:val="20"/>
          <w:szCs w:val="20"/>
          <w:color w:val="auto"/>
        </w:rPr>
      </w:pPr>
    </w:p>
    <w:p>
      <w:pPr>
        <w:ind w:right="260" w:firstLine="749"/>
        <w:spacing w:after="0" w:line="250" w:lineRule="auto"/>
        <w:rPr>
          <w:sz w:val="20"/>
          <w:szCs w:val="20"/>
          <w:color w:val="auto"/>
        </w:rPr>
      </w:pPr>
      <w:r>
        <w:rPr>
          <w:rFonts w:ascii="Times New Roman" w:cs="Times New Roman" w:eastAsia="Times New Roman" w:hAnsi="Times New Roman"/>
          <w:sz w:val="18"/>
          <w:szCs w:val="18"/>
          <w:color w:val="auto"/>
        </w:rPr>
        <w:t>If we undergo a fundamental change, subject to certain conditions, holders may require us to purchase for cash all or any portion of their 2028 Notes. The fundamental change purchase price will be 100% of the principal amount of the 2028 Notes to be purchased plus any accrued and unpaid interest to, but excluding, the fundamental change purchase date.</w:t>
      </w:r>
    </w:p>
    <w:p>
      <w:pPr>
        <w:spacing w:after="0" w:line="149"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indenture governing the 2028 Notes contains customary terms and covenants, including a merger covenant and that upon certain events of default occurring and continuing, either the Trustee or the holders of at least 25% of the aggregate principal amount of the outstanding Notes may declare 100% of the principal of, and accrued and unpaid interest, if any, on, all the Notes to be due and payable immediately.</w:t>
      </w:r>
    </w:p>
    <w:p>
      <w:pPr>
        <w:spacing w:after="0" w:line="128"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In connection with the offering of the 2028 Notes, we entered into privately negotiated capped call transactions. The cap price of the capped call transaction is initially $33.9850 per share and is subject to certain adjustments under the terms of the capped call transactions. The capped call transactions cover, subject to customary adjustments, the number of shares of common stock initially underlying the 2028 Notes. The capped call transactions are expected generally to reduce potential dilution to our common stock upon conversion of the 2028 Notes or at our election (subject to certain conditions) offset any cash payments we are required to make in excess of the aggregate principal amount of converted 2028 Notes, as the case may be, with such reduction or offset subject to a cap.</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2022, the effective interest rate on the 2028 Notes was 2.70%.</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outstanding 2028 Notes balance as of June 30, 2022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3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53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58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 net</w:t>
            </w:r>
          </w:p>
        </w:tc>
        <w:tc>
          <w:tcPr>
            <w:tcW w:w="5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(8,057 )</w:t>
            </w:r>
          </w:p>
        </w:tc>
        <w:tc>
          <w:tcPr>
            <w:tcW w:w="0" w:type="dxa"/>
            <w:vAlign w:val="bottom"/>
          </w:tcPr>
          <w:p>
            <w:pPr>
              <w:spacing w:after="0"/>
              <w:rPr>
                <w:sz w:val="1"/>
                <w:szCs w:val="1"/>
                <w:color w:val="auto"/>
              </w:rPr>
            </w:pPr>
          </w:p>
        </w:tc>
      </w:tr>
      <w:tr>
        <w:trPr>
          <w:trHeight w:val="209"/>
        </w:trPr>
        <w:tc>
          <w:tcPr>
            <w:tcW w:w="3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carrying amount</w:t>
            </w:r>
          </w:p>
        </w:tc>
        <w:tc>
          <w:tcPr>
            <w:tcW w:w="5520" w:type="dxa"/>
            <w:vAlign w:val="bottom"/>
            <w:tcBorders>
              <w:top w:val="single" w:sz="8" w:color="CFF0FC"/>
            </w:tcBorders>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300" w:type="dxa"/>
            <w:vAlign w:val="bottom"/>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37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20" w:type="dxa"/>
            <w:vAlign w:val="bottom"/>
            <w:tcBorders>
              <w:bottom w:val="single" w:sz="8" w:color="9A9A9A"/>
            </w:tcBorders>
          </w:tcPr>
          <w:p>
            <w:pPr>
              <w:spacing w:after="0"/>
              <w:rPr>
                <w:sz w:val="7"/>
                <w:szCs w:val="7"/>
                <w:color w:val="auto"/>
              </w:rPr>
            </w:pPr>
          </w:p>
        </w:tc>
        <w:tc>
          <w:tcPr>
            <w:tcW w:w="5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2028 Notes from the date of issuance through June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4"/>
                <w:szCs w:val="14"/>
                <w:color w:val="auto"/>
              </w:rPr>
            </w:pPr>
          </w:p>
        </w:tc>
        <w:tc>
          <w:tcPr>
            <w:tcW w:w="11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7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r>
      <w:tr>
        <w:trPr>
          <w:trHeight w:val="249"/>
        </w:trPr>
        <w:tc>
          <w:tcPr>
            <w:tcW w:w="7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64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8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aggregate scheduled maturities of our convertible debt as of June 30, 2022 were as follows: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7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24"/>
                <w:szCs w:val="24"/>
                <w:color w:val="auto"/>
              </w:rPr>
            </w:pPr>
          </w:p>
        </w:tc>
      </w:tr>
      <w:tr>
        <w:trPr>
          <w:trHeight w:val="209"/>
        </w:trPr>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6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Remainder of 2022</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2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549,704</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-1917065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-1899920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operating leases include Entasis’ facility lease (the “Entasis Lease”) consisting of 20,062 square feet of office and laboratory space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Massachusetts. In February 2022, Entasis decided to exercise a renewal option for the Entasis Lease to extend the lease term for three additional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through 2025 and subsequently signed the Second Amendment in April 2022. As of June 30, 2022, the weighted average remaining lease term was</w:t>
      </w:r>
    </w:p>
    <w:p>
      <w:pPr>
        <w:spacing w:after="0" w:line="234" w:lineRule="auto"/>
        <w:rPr>
          <w:sz w:val="20"/>
          <w:szCs w:val="20"/>
          <w:color w:val="auto"/>
        </w:rPr>
      </w:pPr>
      <w:r>
        <w:rPr>
          <w:rFonts w:ascii="Times New Roman" w:cs="Times New Roman" w:eastAsia="Times New Roman" w:hAnsi="Times New Roman"/>
          <w:sz w:val="18"/>
          <w:szCs w:val="18"/>
          <w:color w:val="auto"/>
        </w:rPr>
        <w:t>2.8 years and the estimated weighted-average incremental borrowing rate used to determine the operating lease right-of-use assets and lease liabilities was</w:t>
      </w:r>
    </w:p>
    <w:p>
      <w:pPr>
        <w:spacing w:after="0"/>
        <w:rPr>
          <w:sz w:val="20"/>
          <w:szCs w:val="20"/>
          <w:color w:val="auto"/>
        </w:rPr>
      </w:pPr>
      <w:r>
        <w:rPr>
          <w:rFonts w:ascii="Times New Roman" w:cs="Times New Roman" w:eastAsia="Times New Roman" w:hAnsi="Times New Roman"/>
          <w:sz w:val="18"/>
          <w:szCs w:val="18"/>
          <w:color w:val="auto"/>
        </w:rPr>
        <w:t>7.8%.</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also lease approximately 2,111 square feet of office space in Burlingame, California.</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operating leases as presented in the unaudited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98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3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498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498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700" w:type="dxa"/>
            <w:vAlign w:val="bottom"/>
            <w:vMerge w:val="restart"/>
          </w:tcPr>
          <w:p>
            <w:pPr>
              <w:jc w:val="right"/>
              <w:ind w:right="1634"/>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7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4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-787400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8"/>
          <w:szCs w:val="18"/>
          <w:color w:val="auto"/>
        </w:rPr>
        <w:t>Future minimum operating lease payments on the Entasis Lease as of June 30, 2022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9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Remainder of 2022</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r>
      <w:tr>
        <w:trPr>
          <w:trHeight w:val="216"/>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(442 )</w:t>
            </w:r>
          </w:p>
        </w:tc>
      </w:tr>
      <w:tr>
        <w:trPr>
          <w:trHeight w:val="209"/>
        </w:trPr>
        <w:tc>
          <w:tcPr>
            <w:tcW w:w="9020" w:type="dxa"/>
            <w:vAlign w:val="bottom"/>
            <w:tcBorders>
              <w:top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Borders>
              <w:top w:val="single" w:sz="8" w:color="CFF0FC"/>
            </w:tcBorders>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minimum operating lease payments on our corporate headquarters in Burlingame, California as of June 30, 2022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r>
      <w:tr>
        <w:trPr>
          <w:trHeight w:val="209"/>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Remainder of 2022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8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 the ordinary course of its business. Currently, we believe that no litigation or arbitration, either individually or in the aggregate, to which we are presently a party is likely to have a material adverse effect on our operating results or financial 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8"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recorded a provisional income tax benefit of $0.9 million for the three months ended June 30, 2022 and provisional income tax expense of $6.0 million for the six months ended June 30, 2022, compared to provisional income tax expense of $25.3 million and $45.1 million for the three and six months ended June 30, 2021 respectively. The Company’s effective income tax rate for the six months ended June 30, 2022 was 4.3%, compared to 18.6% for the same period in 2021. The income tax expense for the six months ended June 30, 2022 and 2021 was determined based upon estimates of the Company’s effective income tax rates in various jurisdictions. Our effective income tax rate for the six months ended June 30, 2022 was lower than the U.S. federal statutory income tax rate due primarily to noncontrolling interest and a decrease in the fair value of our equity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8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On July 11, 2022, we announced the completion of our acquisition of Entasis by acquiring all the issued and outstanding equity securities of Entasis not already owned by our company for $2.20 per share for a consideration of $42.4 million.</w:t>
      </w:r>
    </w:p>
    <w:p>
      <w:pPr>
        <w:spacing w:after="0" w:line="134" w:lineRule="exact"/>
        <w:rPr>
          <w:sz w:val="20"/>
          <w:szCs w:val="20"/>
          <w:color w:val="auto"/>
        </w:rPr>
      </w:pPr>
    </w:p>
    <w:p>
      <w:pPr>
        <w:jc w:val="both"/>
        <w:ind w:right="80" w:firstLine="749"/>
        <w:spacing w:after="0" w:line="250" w:lineRule="auto"/>
        <w:rPr>
          <w:sz w:val="20"/>
          <w:szCs w:val="20"/>
          <w:color w:val="auto"/>
        </w:rPr>
      </w:pPr>
      <w:r>
        <w:rPr>
          <w:rFonts w:ascii="Times New Roman" w:cs="Times New Roman" w:eastAsia="Times New Roman" w:hAnsi="Times New Roman"/>
          <w:sz w:val="18"/>
          <w:szCs w:val="18"/>
          <w:color w:val="auto"/>
        </w:rPr>
        <w:t>On July 11, 2022, we also entered into a definitive merger agreement, whereby we will acquire La Jolla Pharmaceutical Company (“La Jolla”), a company dedicated to the commercialization of innovative therapies that improve outcomes in patients suffering from life-threatening diseases. Under the terms of the agreement, we will acquire all of the outstanding shares of La Jolla for $6.23 per share in cash subject to certain closing conditions.</w:t>
      </w:r>
    </w:p>
    <w:p>
      <w:pPr>
        <w:spacing w:after="0" w:line="14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7"/>
          <w:szCs w:val="17"/>
          <w:color w:val="auto"/>
        </w:rPr>
        <w:t>On July 13, 2022, we announced that we entered into an agreement to sell our 15% economic stake in TRC, which receives royalties stemming from sales of TRELEGY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to Royalty Pharma plc for an upfront cash payment of approximately $282.0 million and a potential $50.0 million contingent sales-based milestone payment. Under the terms of the agreement, TRC also transferred to Innoviva all of TRC's ownership interests and investments in InCarda, ImaginAb, Gate Neurosciences and Nanolive. We retain our royalty rights with respect to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as well as the GSK Agreements associated with the retained products. The transaction was closed on July 20, 2022.</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0" w:name="page31"/>
    <w:bookmarkEnd w:id="30"/>
    <w:p>
      <w:pPr>
        <w:ind w:right="3800"/>
        <w:spacing w:after="0" w:line="45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The information in this Quarterly Report on Form 10-Q contains forward-looking statements within the meaning of Section 27A of the Securities Act of 1933, as amended (“Securities Act”), and Section 21E of the Securities Exchange Act of 1934, as amended. Such forward-looking statements involve substantial risks, uncertainties, and assumptions. All statements contained herein that are not of historical fact, including, without limitation, statements regarding our strategy, future operations, future financial position, future revenue, projected costs, prospects, plans, intentions, expectations, goals and objectives, may be forward-looking statements. The words “anticipates,” “believes,” “could,” “designed,” “estimates,” “expects,” “goal,” “intends,” “may,” “objective,” “plans,” “projects,” “pursue,”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All written and verbal forward-looking statements attributable to us or any person acting on our behalf are expressly qualified in their entirety by the cautionary statements contained or referred to in this section. Important factors that we believe could cause actual results or events to differ materially from our forward-looking statements include, but are not limited to, risks related to: lower than expected future royalty revenue from respiratory products partnered with GSK; the commercialization of</w:t>
      </w:r>
    </w:p>
    <w:p>
      <w:pPr>
        <w:spacing w:after="0" w:line="1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jurisdictions in which these products have been approved; substantial competition from products discovered, developed, launched and commercialized both by GSK and by other pharmaceutical companies; the strategies, plans and objectives of the Company (related to the Company’s growth strategy and corporate development initiatives beyond the Company’s existing portfolio); the timing, manner and amount of capital deployment, including potential capital returns to stockholders; risks related to the Company’s growth strategy; projections of revenue, expenses and other financial items and risks discussed in “Risk Factors” in Item 1A of Part I of our Annual Report on Form 10-K for the year ended December 31, 2021 filed with the Securities and Exchange Commission (“SEC”) on February 28, 2022, and as amended on March 17, 2022 (“2021 Form 10-K”), and Item 1A of Part II of our Quarterly Reports on Form 10-Q and below in “Management’s Discussion and Analysis of Financial Condition and Results of Operations” in this Item 2 of Part I. All forward-looking statements in this Quarterly Report on Form 10-Q are based on current expectations as of the date hereof and we do not assume any obligation to update any forward-looking statements on account of new information, future events or otherwise, except as required by law.</w:t>
      </w:r>
    </w:p>
    <w:p>
      <w:pPr>
        <w:spacing w:after="0" w:line="157"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We encourage you to read our unaudited condensed consolidated financial statements contained in this Quarterly Report on Form 10-Q. We also encourage you to read Item 1A of Part I of our 2021 Form 10-K and Item 1A of Part II of our Quarterly Reports on Form 10-Q entitled “Risk Factors,” which contain a more complete discussion of the risks and uncertainties associated with our business. In addition to the risks described above and in Item 1A of Part I of our 2021 Form 10-K and Item 1A of Part II of this report, other unknown or unpredictable factors also could affect our results. Therefore, the information in this report should be read together with other reports and documents that we file with the SEC from time to time, including on Form 10-K,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8" w:lineRule="exact"/>
        <w:rPr>
          <w:sz w:val="20"/>
          <w:szCs w:val="20"/>
          <w:color w:val="auto"/>
        </w:rPr>
      </w:pPr>
    </w:p>
    <w:p>
      <w:pPr>
        <w:ind w:right="20" w:firstLine="749"/>
        <w:spacing w:after="0" w:line="221" w:lineRule="auto"/>
        <w:rPr>
          <w:sz w:val="20"/>
          <w:szCs w:val="20"/>
          <w:color w:val="auto"/>
        </w:rPr>
      </w:pPr>
      <w:r>
        <w:rPr>
          <w:rFonts w:ascii="Times New Roman" w:cs="Times New Roman" w:eastAsia="Times New Roman" w:hAnsi="Times New Roman"/>
          <w:sz w:val="17"/>
          <w:szCs w:val="17"/>
          <w:color w:val="auto"/>
        </w:rPr>
        <w:t>Innoviva, Inc. (“Innoviva”, the “Company”, the “Registrant” or “we” and other similar pronouns) is a company with a portfolio of royalties and other healthcare assets. Our royalty portfolio contains respiratory assets partnered with Glaxo Group Limited (“GSK”), including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(fluticasone furoate/ vilanterol, “FF/VI”),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(umeclidinium bromide/ vilanterol, “UMEC/VI”) and TRELEGY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(the combination FF/UMEC/VI). Under the Long-Acting Beta2 Agonist (“LABA”) Collaboration Agreement, Innoviva is entitled to receive royalties from GSK on sales of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as follows: 15% on the first $3.0 billion of annual global net sales and 5% for all annual global net sales above $3.0 billion; and royalties from the sales of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which tier upward at a range from 6.5% to 10%. Innoviva is also entitled to 15% of royalty payments made by GSK under its agreements originally entered into with us, and since assigned to Theravance Respiratory Company, LLC</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(“TRC”), including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any other product or combination of products that may be discovered or developed in the future under the LABA Collaboration Agreement and the Strategic Alliance Agreement with GSK (referred to herein as the “GSK Agreements”), which have been assigned to TRC other than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right="140" w:firstLine="749"/>
        <w:spacing w:after="0" w:line="280" w:lineRule="auto"/>
        <w:rPr>
          <w:sz w:val="20"/>
          <w:szCs w:val="20"/>
          <w:color w:val="auto"/>
        </w:rPr>
      </w:pPr>
      <w:r>
        <w:rPr>
          <w:rFonts w:ascii="Times New Roman" w:cs="Times New Roman" w:eastAsia="Times New Roman" w:hAnsi="Times New Roman"/>
          <w:sz w:val="17"/>
          <w:szCs w:val="17"/>
          <w:color w:val="auto"/>
        </w:rPr>
        <w:t>Our company structure and organization are tailored to our focused activities of managing our respiratory assets partnered with GSK, including the commercial and developmental obligations associated with the GSK Agreements, optimizing capital allocation and providing for certain essential reporting and management functions of a public company. Our revenues consist of royalties from our respiratory partnership agreements with GSK.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8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Net Sales:</w:t>
      </w:r>
    </w:p>
    <w:p>
      <w:pPr>
        <w:spacing w:after="0" w:line="190" w:lineRule="exact"/>
        <w:rPr>
          <w:rFonts w:ascii="Times New Roman" w:cs="Times New Roman" w:eastAsia="Times New Roman" w:hAnsi="Times New Roman"/>
          <w:sz w:val="18"/>
          <w:szCs w:val="18"/>
          <w:color w:val="auto"/>
        </w:rPr>
      </w:pPr>
    </w:p>
    <w:p>
      <w:pPr>
        <w:ind w:left="1140" w:right="100" w:hanging="383"/>
        <w:spacing w:after="0" w:line="226"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2022 net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GSK were $395.5 million, down 10% from $439.5 million in the same quarter of 2021, with $189.7 million in net sales from the U.S. market and $205.8 million from non-U.S. markets.</w:t>
      </w:r>
    </w:p>
    <w:p>
      <w:pPr>
        <w:spacing w:after="0" w:line="165" w:lineRule="exact"/>
        <w:rPr>
          <w:rFonts w:ascii="Times New Roman" w:cs="Times New Roman" w:eastAsia="Times New Roman" w:hAnsi="Times New Roman"/>
          <w:sz w:val="18"/>
          <w:szCs w:val="18"/>
          <w:color w:val="auto"/>
        </w:rPr>
      </w:pPr>
    </w:p>
    <w:p>
      <w:pPr>
        <w:ind w:left="1140" w:hanging="383"/>
        <w:spacing w:after="0" w:line="226"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2022 net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GSK were $148.2 million, down 19% from $184.0 million in the same quarter of 2021, with $74.5 million net sales from the U.S. market and $73.7 million from non-U.S. markets.</w:t>
      </w:r>
    </w:p>
    <w:p>
      <w:pPr>
        <w:spacing w:after="0" w:line="165" w:lineRule="exact"/>
        <w:rPr>
          <w:rFonts w:ascii="Times New Roman" w:cs="Times New Roman" w:eastAsia="Times New Roman" w:hAnsi="Times New Roman"/>
          <w:sz w:val="18"/>
          <w:szCs w:val="18"/>
          <w:color w:val="auto"/>
        </w:rPr>
      </w:pPr>
    </w:p>
    <w:p>
      <w:pPr>
        <w:ind w:left="1140" w:right="40" w:hanging="383"/>
        <w:spacing w:after="0" w:line="226"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2022 net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GSK were $590.1 million, up 45% from $405.9 million in the same quarter of 2021, with $449.1 million in net sales from the U.S. market and $141.0 million in net sales from non-U.S. markets.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32" w:name="page33"/>
    <w:bookmarkEnd w:id="32"/>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Allocations:</w:t>
      </w:r>
    </w:p>
    <w:p>
      <w:pPr>
        <w:spacing w:after="0" w:line="184" w:lineRule="exact"/>
        <w:rPr>
          <w:rFonts w:ascii="Times New Roman" w:cs="Times New Roman" w:eastAsia="Times New Roman" w:hAnsi="Times New Roman"/>
          <w:sz w:val="18"/>
          <w:szCs w:val="18"/>
          <w:color w:val="auto"/>
        </w:rPr>
      </w:pPr>
    </w:p>
    <w:p>
      <w:pPr>
        <w:ind w:left="1140" w:right="440" w:hanging="383"/>
        <w:spacing w:after="0" w:line="258"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2022, the Company’s wholly owned subsidiary, Innoviva Strategic Opportunities LLC, announced the purchase of all the issued and outstanding equity securities of Entasis Therapeutics not already owned by Innoviva and its affiliates for $2.20 per share for a consideration of $42.4 million. The purchase closed on July 11, 2022.</w:t>
      </w:r>
    </w:p>
    <w:p>
      <w:pPr>
        <w:spacing w:after="0" w:line="128" w:lineRule="exact"/>
        <w:rPr>
          <w:rFonts w:ascii="Times New Roman" w:cs="Times New Roman" w:eastAsia="Times New Roman" w:hAnsi="Times New Roman"/>
          <w:sz w:val="18"/>
          <w:szCs w:val="18"/>
          <w:color w:val="auto"/>
        </w:rPr>
      </w:pPr>
    </w:p>
    <w:p>
      <w:pPr>
        <w:ind w:left="1140" w:right="100" w:hanging="383"/>
        <w:spacing w:after="0" w:line="246"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close of the second quarter of 2022, the Company’s wholly owned subsidiary, Innoviva Strategic Opportunities LLC, entered into a definitive merger agreement to acquire La Jolla Pharmaceutical Company (Nasdaq: LJPC). Innoviva has agreed to pay $5.95 per share and an incremental $0.28 per share for additional cash proceeds received in connection with the divestiture of a non-core asset. The implied enterprise value of La Jolla was approximately $149.0 million. The acquisition is expected in to close later in the third quarter of 2022.</w:t>
      </w:r>
    </w:p>
    <w:p>
      <w:pPr>
        <w:spacing w:after="0" w:line="152" w:lineRule="exact"/>
        <w:rPr>
          <w:rFonts w:ascii="Times New Roman" w:cs="Times New Roman" w:eastAsia="Times New Roman" w:hAnsi="Times New Roman"/>
          <w:sz w:val="18"/>
          <w:szCs w:val="18"/>
          <w:color w:val="auto"/>
        </w:rPr>
      </w:pPr>
    </w:p>
    <w:p>
      <w:pPr>
        <w:ind w:left="1140" w:hanging="383"/>
        <w:spacing w:after="0" w:line="241"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sold its 15% stake in Theravance Respiratory Company (“TRC”), which received royalties stemming from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to Royalty Pharma plc (Nasdaq: RPRX) for an upfront cash payment of approximately $282.0 million and a potential $50.0 million contingent sales-based milestone payment. Under the terms of the agreement, TRC also transferred to Innoviva all of TRC’s ownership interests and investments in InCarda Therapeutics Inc., ImaginAb, Inc., Gate Neurosciences, Inc. and Nanolive SA; collectively, these ownership interests are valued at $42.5 million as of quarter-end. Innoviva retained its royalty rights with respect to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 with GSK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LABA Collaboration</w:t>
      </w:r>
    </w:p>
    <w:p>
      <w:pPr>
        <w:spacing w:after="0" w:line="188" w:lineRule="exact"/>
        <w:rPr>
          <w:sz w:val="20"/>
          <w:szCs w:val="20"/>
          <w:color w:val="auto"/>
        </w:rPr>
      </w:pPr>
    </w:p>
    <w:p>
      <w:pPr>
        <w:ind w:right="500" w:firstLine="749"/>
        <w:spacing w:after="0" w:line="250" w:lineRule="auto"/>
        <w:rPr>
          <w:sz w:val="20"/>
          <w:szCs w:val="20"/>
          <w:color w:val="auto"/>
        </w:rPr>
      </w:pPr>
      <w:r>
        <w:rPr>
          <w:rFonts w:ascii="Times New Roman" w:cs="Times New Roman" w:eastAsia="Times New Roman" w:hAnsi="Times New Roman"/>
          <w:sz w:val="18"/>
          <w:szCs w:val="18"/>
          <w:color w:val="auto"/>
        </w:rPr>
        <w:t>In November 2002, we entered into the LABA collaboration with GSK to develop and commercialize once-daily LABA products for the treatment of chronic obstructive pulmonary disorder (“COPD”) and asthma (the “LABA Collaboration Agreement”). For the treatment of COPD, the collaboration has developed three combination products:</w:t>
      </w:r>
    </w:p>
    <w:p>
      <w:pPr>
        <w:spacing w:after="0" w:line="156" w:lineRule="exact"/>
        <w:rPr>
          <w:sz w:val="20"/>
          <w:szCs w:val="20"/>
          <w:color w:val="auto"/>
        </w:rPr>
      </w:pPr>
    </w:p>
    <w:p>
      <w:pPr>
        <w:ind w:left="760" w:right="140" w:hanging="378"/>
        <w:spacing w:after="0" w:line="229"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(“FF/VI”) (BREO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in the U.S. and Canada and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outside the U.S. and Canada), a once-daily combination medicine consisting of a LABA, vilanterol (VI), and an inhaled corticosteroid (“ICS”), fluticasone furoate (“FF”),</w:t>
      </w:r>
    </w:p>
    <w:p>
      <w:pPr>
        <w:spacing w:after="0" w:line="164" w:lineRule="exact"/>
        <w:rPr>
          <w:rFonts w:ascii="Times New Roman" w:cs="Times New Roman" w:eastAsia="Times New Roman" w:hAnsi="Times New Roman"/>
          <w:sz w:val="18"/>
          <w:szCs w:val="18"/>
          <w:color w:val="auto"/>
        </w:rPr>
      </w:pPr>
    </w:p>
    <w:p>
      <w:pPr>
        <w:ind w:left="760" w:right="140" w:hanging="378"/>
        <w:spacing w:after="0" w:line="22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(“UMEC/VI”), a once-daily medicine combining a long-acting muscarinic antagonist (“LAMA”), umeclidinium bromide (“UMEC”), with a LABA, vilanterol (VI), and</w:t>
      </w:r>
    </w:p>
    <w:p>
      <w:pPr>
        <w:spacing w:after="0" w:line="1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combination FF/UMEC/VI), a once-daily combination medicine consisting of an ICS, LAMA and LABA.</w:t>
      </w:r>
    </w:p>
    <w:p>
      <w:pPr>
        <w:spacing w:after="0" w:line="142" w:lineRule="exact"/>
        <w:rPr>
          <w:sz w:val="20"/>
          <w:szCs w:val="20"/>
          <w:color w:val="auto"/>
        </w:rPr>
      </w:pPr>
    </w:p>
    <w:p>
      <w:pPr>
        <w:ind w:right="20" w:firstLine="749"/>
        <w:spacing w:after="0" w:line="231" w:lineRule="auto"/>
        <w:rPr>
          <w:sz w:val="20"/>
          <w:szCs w:val="20"/>
          <w:color w:val="auto"/>
        </w:rPr>
      </w:pPr>
      <w:r>
        <w:rPr>
          <w:rFonts w:ascii="Times New Roman" w:cs="Times New Roman" w:eastAsia="Times New Roman" w:hAnsi="Times New Roman"/>
          <w:sz w:val="18"/>
          <w:szCs w:val="18"/>
          <w:color w:val="auto"/>
        </w:rPr>
        <w:t>As a result of the launch and approval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Japan and Europe, in accordance with the LABA Collaboration Agreement, we paid milestone fees to GSK totaling $220.0 million during the year ended December 31, 2014. Although we have no further milestone payment obligations to GSK pursuant to the LABA Collaboration Agreement, we continue to have ongoing commercialization activities under the LABA Collaboration Agreement, including participation in the joint steering committee and joint project committee that are expected to continue over the life of the agreement. The milestone fees paid to GSK were recognized as capitalized fees paid to a related party, which are being amortized over their estimated useful lives commencing upon the commercial launch of the products.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8"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as of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Other than those set out in Note 1 to our accompanying unaudited condensed consolidated financial statements, we believe there have been no significant changes in our critical accounting policies as described in the Form 10-K for the year ended December 31, 2021 filed with the SEC on February 28, 2022, and as amended on March 17,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net revenue, as compared to the prior year period,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0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20" w:type="dxa"/>
            <w:vAlign w:val="bottom"/>
            <w:tcBorders>
              <w:top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7"/>
                <w:szCs w:val="17"/>
                <w:color w:val="auto"/>
              </w:rPr>
              <w:t>Royalties from a related party</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 RELVAR/BREO</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59,326</w:t>
            </w:r>
          </w:p>
        </w:tc>
        <w:tc>
          <w:tcPr>
            <w:tcW w:w="2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65,916</w:t>
            </w:r>
          </w:p>
        </w:tc>
        <w:tc>
          <w:tcPr>
            <w:tcW w:w="2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(6,590 )</w:t>
            </w: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(10 )%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115,090</w:t>
            </w:r>
          </w:p>
        </w:tc>
        <w:tc>
          <w:tcPr>
            <w:tcW w:w="2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122,306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(7,216 )</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175"/>
        </w:trPr>
        <w:tc>
          <w:tcPr>
            <w:tcW w:w="30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Royalties from a related party</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 ANORO</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(2,330 )</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(4,388 )</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175"/>
        </w:trPr>
        <w:tc>
          <w:tcPr>
            <w:tcW w:w="30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Royalties from a related party</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42,720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26,386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16,334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62 %</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48,470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23,559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22"/>
        </w:trPr>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 TRELEGY</w:t>
            </w: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Total royalties from a related party</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205,191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154"/>
        </w:trPr>
        <w:tc>
          <w:tcPr>
            <w:tcW w:w="302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Less: amortization of capitalized fees</w:t>
            </w:r>
          </w:p>
        </w:tc>
        <w:tc>
          <w:tcPr>
            <w:tcW w:w="20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(3,456 )</w:t>
            </w:r>
          </w:p>
        </w:tc>
        <w:tc>
          <w:tcPr>
            <w:tcW w:w="24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(3,456 )</w:t>
            </w:r>
          </w:p>
        </w:tc>
        <w:tc>
          <w:tcPr>
            <w:tcW w:w="200" w:type="dxa"/>
            <w:vAlign w:val="bottom"/>
            <w:shd w:val="clear" w:color="auto" w:fill="CFF0FC"/>
          </w:tcPr>
          <w:p>
            <w:pPr>
              <w:spacing w:after="0"/>
              <w:rPr>
                <w:sz w:val="13"/>
                <w:szCs w:val="13"/>
                <w:color w:val="auto"/>
              </w:rPr>
            </w:pPr>
          </w:p>
        </w:tc>
        <w:tc>
          <w:tcPr>
            <w:tcW w:w="1080" w:type="dxa"/>
            <w:vAlign w:val="bottom"/>
            <w:gridSpan w:val="3"/>
            <w:vMerge w:val="restart"/>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(6,912 )</w:t>
            </w:r>
          </w:p>
        </w:tc>
        <w:tc>
          <w:tcPr>
            <w:tcW w:w="2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(6,912 )</w:t>
            </w:r>
          </w:p>
        </w:tc>
        <w:tc>
          <w:tcPr>
            <w:tcW w:w="180" w:type="dxa"/>
            <w:vAlign w:val="bottom"/>
            <w:shd w:val="clear" w:color="auto" w:fill="CFF0FC"/>
          </w:tcPr>
          <w:p>
            <w:pPr>
              <w:spacing w:after="0"/>
              <w:rPr>
                <w:sz w:val="13"/>
                <w:szCs w:val="13"/>
                <w:color w:val="auto"/>
              </w:rPr>
            </w:pPr>
          </w:p>
        </w:tc>
        <w:tc>
          <w:tcPr>
            <w:tcW w:w="1020" w:type="dxa"/>
            <w:vAlign w:val="bottom"/>
            <w:gridSpan w:val="3"/>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paid to a related party</w:t>
            </w:r>
          </w:p>
        </w:tc>
        <w:tc>
          <w:tcPr>
            <w:tcW w:w="20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3"/>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3"/>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Royalty revenue from GSK</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108,220</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100,806</w:t>
            </w:r>
          </w:p>
        </w:tc>
        <w:tc>
          <w:tcPr>
            <w:tcW w:w="2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7 %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198,279</w:t>
            </w:r>
          </w:p>
        </w:tc>
        <w:tc>
          <w:tcPr>
            <w:tcW w:w="2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186,324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2482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2482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-170815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-170815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-170815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-170815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16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Total net revenue increased to $108.2 million and $198.3 million for the three and six months ended June 30, 2022, compared to $100.8 million and $186.3 million, respectively, for the same period a year ago, primarily due to growth in prescriptions for our TRELEGY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17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attributable to Entasis’ product development efforts were $13.9 million and $19.7 million, respectively, for the three and six months ended June 30, 2022. Research and development expenses for the three and six months ended June 30, 2021 were attributable to the product development of Pulmoquine Therapeutics Inc., which was dissolved at the end of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General and administrative expenses, as compared to the prior year period,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11,782</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7,554</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18,274</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8,060</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p>
      <w:pPr>
        <w:ind w:right="380" w:firstLine="74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for the three and six months ended June 30, 2022 increased compared to the same period in 2021 mainly due to the consolidation of Entasis’ operating expenses starting February 17, 2022.</w:t>
      </w: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59"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and other expense, net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and dividend income and other expense, net, as compared to the prior year period,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9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9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(528 )</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(951 )</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(778 )</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(1,384 )</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12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51"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Interest and dividend income increased for the three and six months ended June 30, 2022 compared to the same periods a year ago due to higher returns on investments, including those managed by ISP Fund LP.</w:t>
      </w:r>
    </w:p>
    <w:p>
      <w:pPr>
        <w:spacing w:after="0" w:line="109" w:lineRule="exact"/>
        <w:rPr>
          <w:sz w:val="20"/>
          <w:szCs w:val="20"/>
          <w:color w:val="auto"/>
        </w:rPr>
      </w:pPr>
    </w:p>
    <w:p>
      <w:pPr>
        <w:ind w:right="560" w:firstLine="749"/>
        <w:spacing w:after="0" w:line="281" w:lineRule="auto"/>
        <w:rPr>
          <w:sz w:val="20"/>
          <w:szCs w:val="20"/>
          <w:color w:val="auto"/>
        </w:rPr>
      </w:pPr>
      <w:r>
        <w:rPr>
          <w:rFonts w:ascii="Times New Roman" w:cs="Times New Roman" w:eastAsia="Times New Roman" w:hAnsi="Times New Roman"/>
          <w:sz w:val="18"/>
          <w:szCs w:val="18"/>
          <w:color w:val="auto"/>
        </w:rPr>
        <w:t>Other expense, net, was primarily expenses incurred by ISP Fund LP. Other expense, net was partially offset by income from grants of $0.4 million and $0.7 million during the three and six months ended June 30, 2022. There was no income from grants during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as compared to the prior year period,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3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4"/>
                <w:szCs w:val="14"/>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6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4"/>
                <w:szCs w:val="14"/>
                <w:color w:val="auto"/>
              </w:rPr>
            </w:pP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9"/>
        </w:trPr>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(1,090</w:t>
            </w:r>
          </w:p>
        </w:tc>
        <w:tc>
          <w:tcPr>
            <w:tcW w:w="22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(2,774</w:t>
            </w:r>
          </w:p>
        </w:tc>
        <w:tc>
          <w:tcPr>
            <w:tcW w:w="2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0" w:lineRule="exact"/>
        <w:rPr>
          <w:sz w:val="20"/>
          <w:szCs w:val="20"/>
          <w:color w:val="auto"/>
        </w:rPr>
      </w:pPr>
    </w:p>
    <w:p>
      <w:pPr>
        <w:ind w:right="240" w:firstLine="749"/>
        <w:spacing w:after="0" w:line="264" w:lineRule="auto"/>
        <w:rPr>
          <w:sz w:val="20"/>
          <w:szCs w:val="20"/>
          <w:color w:val="auto"/>
        </w:rPr>
      </w:pPr>
      <w:r>
        <w:rPr>
          <w:rFonts w:ascii="Times New Roman" w:cs="Times New Roman" w:eastAsia="Times New Roman" w:hAnsi="Times New Roman"/>
          <w:sz w:val="17"/>
          <w:szCs w:val="17"/>
          <w:color w:val="auto"/>
        </w:rPr>
        <w:t>The decrease in interest expense was primarily due to the adoption of the new accounting standard, ASU 2020-06, which is to simplify the accounting for convertible debt instruments, and the debt discount associated with the cash settlement feature of our convertible notes due 2025 (“2025 Notes”), which was adjusted to zero as of January 1, 2022. The interest expense for the three and six months ended June 30, 2022 included the contractual interest expense and the amortization of debt issuance costs for our 2023 Notes, 2025 Notes and 2028 Notes. Interest expense for the three and six months ended June 30, 2021 included the contractual interest expense, the amortization of debt discount and issuance costs for our 2023 Notes and 2025 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We recognized a loss of $20.7 million due to the total premium payment of $20.4 million and the write-off of $0.3 million debt issuance costs in connection with the repurchase of $144.8 million aggregate principal amount of our 2023 Notes in March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Values of Equity and Long-Term Investments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fair values of equity and long-term investments, as compared to the prior year period,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2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Changes in fair values of equity and</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investments, net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(58,600 )  $</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45,315</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(103,915 )</w:t>
            </w:r>
          </w:p>
        </w:tc>
        <w:tc>
          <w:tcPr>
            <w:tcW w:w="140" w:type="dxa"/>
            <w:vAlign w:val="bottom"/>
          </w:tcPr>
          <w:p>
            <w:pPr>
              <w:spacing w:after="0"/>
              <w:rPr>
                <w:sz w:val="20"/>
                <w:szCs w:val="20"/>
                <w:color w:val="auto"/>
              </w:rPr>
            </w:pPr>
          </w:p>
        </w:tc>
        <w:tc>
          <w:tcPr>
            <w:tcW w:w="16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(229 )%$ (68,011 )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$ 100,360</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(168,371 )</w:t>
            </w: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7" w:lineRule="exact"/>
        <w:rPr>
          <w:sz w:val="20"/>
          <w:szCs w:val="20"/>
          <w:color w:val="auto"/>
        </w:rPr>
      </w:pPr>
    </w:p>
    <w:p>
      <w:pPr>
        <w:ind w:right="120" w:firstLine="749"/>
        <w:spacing w:after="0" w:line="272" w:lineRule="auto"/>
        <w:rPr>
          <w:sz w:val="20"/>
          <w:szCs w:val="20"/>
          <w:color w:val="auto"/>
        </w:rPr>
      </w:pPr>
      <w:r>
        <w:rPr>
          <w:rFonts w:ascii="Times New Roman" w:cs="Times New Roman" w:eastAsia="Times New Roman" w:hAnsi="Times New Roman"/>
          <w:sz w:val="17"/>
          <w:szCs w:val="17"/>
          <w:color w:val="auto"/>
        </w:rPr>
        <w:t>The changes in fair values of equity and long-term investments for the three and six months ended June 30, 2022 decreased compared to the same period in 2021 mainly due to the volatility in the capital markets. The changes in fair values of equity and long-term investments reflect the realized gains and losses and net unrealized gains and losses in our strategic investments in Armata, InCarda, Gate, and those investments managed by ISP Fund LP.</w:t>
      </w:r>
    </w:p>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59"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8"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We recorded a provisional income tax benefit of $0.9 million for the three months ended June 30, 2022 and provisional income tax expense of $6.0 million for the six months ended June 30, 2022, compared to provisional interest tax expense of $25.3 million and $45.1 million for the three and six months ended June 30, 2021. The effective income tax rate for the six months ended June 30, 2022 and 2021 was 4.3% and 18.6%,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income attributable to noncontrolling interest, as compared to the prior periods,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2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attributable to</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$ 20,432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21,898</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(1,466 )</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(7 )%$ 42,517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37,470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50"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Net income attributable to noncontrolling interest represents $28.3 million and $53.4 million for the 85% share of net income in Theravance Respiratory Company, LLC for Theravance Biopharma and $7.9 million and $10.9 million for the 40% share of net loss in Entasis Therapeutics Holdings, Inc. for the three and six months ended June 30, 2022, respectively. The net income attributable to noncontrolling interest for the three and six months ended June 30, 2021 represents the 85% share of net income in Theravance Respiratory Company, LLC for Theravance Biopharma.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8"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private placements and public offerings of equity and debt securities and payments received under collaborative arrangements. For the six months ended June 30, 2022, we generated gross royalty revenues from GSK of $205.2 million. Net cash and cash equivalents totaled $283.6 million, inclusive of $22.4 million of Entasis’ cash balance, and receivables from GSK totaled $111.7 million as of June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Cash Resources to Meet Future Needs</w:t>
      </w:r>
    </w:p>
    <w:p>
      <w:pPr>
        <w:spacing w:after="0" w:line="188"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We believe that cash from projected future royalty revenues and our cash, cash equivalents and marketable securities will be sufficient to meet our anticipated debt service and operating needs for at least the next 12 months based upon current operating plans and financial forecasts. If our current operating plans and financial forecasts change, we may require additional funding sooner in the form of public or private equity offerings or debt financings. Furthermore, if in our view favorable financing opportunities arise, we may seek additional funding at any time. However, future financing may not be available in amounts or on terms acceptable to us, if at all. This could leave us without adequate financial resources to fund our operations as currently planned. In addition, from time to time we may restructure or reduce our debt, including through tender offers, redemptions, amendments, repurchases or otherwise, all allowable with the terms of our debt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 compared to the prior year period,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177,137</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168,721</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(145,678 )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(209,305 )</w:t>
            </w: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(435,570 )</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486,166</w:t>
            </w:r>
          </w:p>
        </w:tc>
        <w:tc>
          <w:tcPr>
            <w:tcW w:w="100" w:type="dxa"/>
            <w:vAlign w:val="bottom"/>
            <w:shd w:val="clear" w:color="auto" w:fill="CFF0FC"/>
          </w:tcPr>
          <w:p>
            <w:pPr>
              <w:spacing w:after="0"/>
              <w:rPr>
                <w:sz w:val="18"/>
                <w:szCs w:val="18"/>
                <w:color w:val="auto"/>
              </w:rPr>
            </w:pPr>
          </w:p>
        </w:tc>
      </w:tr>
      <w:tr>
        <w:trPr>
          <w:trHeight w:val="850"/>
        </w:trPr>
        <w:tc>
          <w:tcPr>
            <w:tcW w:w="46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859"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8"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2022 was $177.1 million, consisting primarily of our net income of $59.2 million, adjusted for net non-cash items such as $6.0 million of deferred income tax, $7.1 million of depreciation and amortization, $20.7 million of loss on extinguishment of debt, and $68.0 million decrease in the fair value of our equity and long-term investments, offset by $6.9 million of accrued personnel-related expenses and other accrued liabilities, $3.0 million of prepaid expenses and $2.7 million of accounts payable.</w:t>
      </w:r>
    </w:p>
    <w:p>
      <w:pPr>
        <w:spacing w:after="0" w:line="149" w:lineRule="exact"/>
        <w:rPr>
          <w:sz w:val="20"/>
          <w:szCs w:val="20"/>
          <w:color w:val="auto"/>
        </w:rPr>
      </w:pPr>
    </w:p>
    <w:p>
      <w:pPr>
        <w:ind w:right="200" w:firstLine="749"/>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2021 was $168.7 million, consisting primarily of our net income of $220.5 million, adjusted for net non-cash items such as $45.1 million of deferred income taxes, $6.9 million of depreciation and amortization, and $4.5 million of amortization of debt discount and issuance costs, partially offset by an increase of $99.0 million in the fair value of our equity and long-term investments, net and an increase in receivables from collaborative arrangements of $10.3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of $145.7 million was primarily due to $38.0 million of purchases of equity investments managed by ISP Fund LP, $96.3 million of purchases and sales of other investments managed by ISP Fund LP, net, and $58.7 million investments in Armata, InCarda, and Nanolive, partially offset by $24.3 million of sales of equity investments managed by ISP Fund LP and $23.1 million of cash acquired through the consolidation of Entasis.</w:t>
      </w:r>
    </w:p>
    <w:p>
      <w:pPr>
        <w:spacing w:after="0" w:line="135"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7"/>
          <w:szCs w:val="17"/>
          <w:color w:val="auto"/>
        </w:rPr>
        <w:t>Net cash provided by investing activities for the six months ended June 30, 2021 of $63.6 million was due to $18.5 million of sales of equity investments managed by ISP Fund LP and $234.1 million of purchase and sales of other investments managed by ISP Fund LP, net partially offset by $142.6 million of purchases of equity investments managed by ISP Fund LP and $46.4 million investments in Armata, ImaginAb and Entasis.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of $50.6 million was primarily due to the net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$252.5 million from the issuance of the convertible senior notes due in 2028, net of issuance costs, offset with $21.0 million purchase of capped call options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2028 Notes, $165.1 million for the repurchase of the 2023 Notes, and $16.1 million distributions to noncontrolling interest.</w:t>
      </w:r>
    </w:p>
    <w:p>
      <w:pPr>
        <w:spacing w:after="0" w:line="16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2021 of $435.6 million was primarily due to $394.1 million used for our common stock repurchase from GSK and $41.4 million distributions to noncontrolling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In March 2022, we completed a private placement of $261.0 million aggregate principal amount of unsecured convertible senior notes, the 2028 Notes, which will mature on March 15, 2028. Under the terms of the 2028 Notes, we will make interest payments of approximately $2.9 million during the year 2022 and $5.5 million in each of the years from 2023 through 2027. The principal balance of $261.0 million will become due in March 2028. As of March 31, 2022, our notes payable obligation also included $96.2 million related to our 2023 Notes which are due in 2023 and $192.5 million related to our 2025 Notes which are due in 2025. Refer to Note 8, “Debt”, to the Condensed Consolidated Financial Statements for more information.</w:t>
      </w:r>
    </w:p>
    <w:p>
      <w:pPr>
        <w:spacing w:after="0" w:line="153"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18"/>
          <w:szCs w:val="18"/>
          <w:color w:val="auto"/>
        </w:rPr>
        <w:t>During the six months ended June 30, 2022, we determined that we have both (1) the power to direct the economically significant activities of Entasis and (2) the obligation to absorb the losses, or the right to receive the benefits, that could potentially be significant to Entasis, and therefore, we are the primary beneficiary of Entasis. Accordingly, we consolidated Entasis’ financial position and results of operations effective on February 17, 2022. In connection with the consolidation, we assumed contractual obligations related to an operating lease of Entasis for office and laboratory space in Waltham, Massachusetts with an expiration date in 2025. As of June 30, 2022, total undiscounted future minimum lease payments related to the Entasis lease were $4.2 million, with approximately $0.4 million payable through December 31, 2022 and approximately $1.3 million payable in each of the years from 2023 to 2025. Refer to Note 9, “Commitments and Contingencies”, to the Condensed Consolidated Financial Statements for more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8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market risk or how our market risk is managed compared to those disclosed in our Annual Report on Form 10-K for the year ended December 31,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We conducted an evaluation as of June 30, 2022, under the supervision and with the participation of our management, of the effectiveness of the design and operation of our disclosure controls and procedures, which are defined under SEC rules as controls and other procedures of a company that are designed to ensure that information required to be disclosed by a company in the reports that it files under the Securities Exchange Act of 1934 (“Exchange Act”) is recorded, processed, summarized and reported within required time periods. Based upon that evaluation, our Chief Executive Officer and Chief Accounting Officer, concluded that, as of such date, our disclosure controls and procedures were effective at the reasonable assurance levels.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186"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frauds.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Innoviva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6" w:lineRule="exact"/>
        <w:rPr>
          <w:sz w:val="20"/>
          <w:szCs w:val="20"/>
          <w:color w:val="auto"/>
        </w:rPr>
      </w:pPr>
    </w:p>
    <w:p>
      <w:pPr>
        <w:ind w:right="240" w:firstLine="749"/>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internal control over financial reporting (as defined in Rule 13a-15(f) of the Exchange Act) during the quarter ended June 30, 2022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have not been any material changes to our legal proceedings from those reported in our fiscal year 2021 Annual Report on Form 10-K filed with the SEC.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information presented below supplements the risk factors set forth in Item 1A of Part I of our 2021 Form 10-K. As previously disclosed, on July 11, 2022, we announced the completion of our acquisition of Entasis by acquiring all the issued and outstanding equity securities of Entasis not already owned by our company for $2.20 per share. The Entasis business constitutes a significant portion of our business and additional significant risks may apply to the Entasis business as detailed in the Annual Report on Form 10-K filed by Entasis on March 3, 2022, and as amended on May 2, 2022, which are hereby incorporated by reference.</w:t>
      </w:r>
    </w:p>
    <w:p>
      <w:pPr>
        <w:spacing w:after="0" w:line="153"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On July 11, 2022, we also entered into a definitive merger agreement, whereby we will acquire La Jolla. Additional risks regarding the La Jolla business are detailed in La Jolla's Form 10-K filed on March 9, 2022, and as amended on May 2, 2022. In the event our acquisition of La Jolla is ultimately consummated, certain risks detailed therein may apply to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Index to Exhibits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gridSpan w:val="31"/>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Agreement and Plan of Merger, dated as of May 23, 2022, by and among Innoviva, Inc., Innoviva</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Merger Sub, Inc. and Entasis Therapeutics Holdings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Agreement and Plan of Merger, dated as of July 10, 2022, by and among Innoviva, Inc., Innoviva</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Acquisition Sub, Inc. and La Jolla Pharmaceutical Company</w:t>
              </w:r>
            </w:hyperlink>
          </w:p>
        </w:tc>
        <w:tc>
          <w:tcPr>
            <w:tcW w:w="26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24"/>
                <w:szCs w:val="24"/>
                <w:color w:val="auto"/>
              </w:rPr>
            </w:pPr>
          </w:p>
        </w:tc>
        <w:tc>
          <w:tcPr>
            <w:tcW w:w="352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Certificate of Amendment of Restated Certificate of Incorporation</w:t>
              </w:r>
            </w:hyperlink>
          </w:p>
        </w:tc>
        <w:tc>
          <w:tcPr>
            <w:tcW w:w="20" w:type="dxa"/>
            <w:vAlign w:val="bottom"/>
            <w:tcBorders>
              <w:bottom w:val="single" w:sz="8" w:color="0000EE"/>
            </w:tcBorders>
          </w:tcPr>
          <w:p>
            <w:pPr>
              <w:spacing w:after="0"/>
              <w:rPr>
                <w:sz w:val="24"/>
                <w:szCs w:val="24"/>
                <w:color w:val="auto"/>
              </w:rPr>
            </w:pPr>
          </w:p>
        </w:tc>
        <w:tc>
          <w:tcPr>
            <w:tcW w:w="24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Certificate of Ownership and Merger Merging LABA Merger Sub, Inc. with and into Theravance,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2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Inc., as filed with the Secretary of State of the State of Delaware, effective on January 7,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558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Amended and Restated Bylaws, amended and restated as of February 8, 2017</w:t>
              </w:r>
            </w:hyperlink>
          </w:p>
        </w:tc>
        <w:tc>
          <w:tcPr>
            <w:tcW w:w="1180" w:type="dxa"/>
            <w:vAlign w:val="bottom"/>
            <w:tcBorders>
              <w:top w:val="single" w:sz="8" w:color="0000FF"/>
            </w:tcBorders>
            <w:gridSpan w:val="2"/>
          </w:tcPr>
          <w:p>
            <w:pPr>
              <w:spacing w:after="0"/>
              <w:rPr>
                <w:sz w:val="24"/>
                <w:szCs w:val="24"/>
                <w:color w:val="auto"/>
              </w:rPr>
            </w:pPr>
          </w:p>
        </w:tc>
        <w:tc>
          <w:tcPr>
            <w:tcW w:w="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9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Specimen certificate representing the common stock of the registrant</w:t>
              </w:r>
            </w:hyperlink>
          </w:p>
        </w:tc>
        <w:tc>
          <w:tcPr>
            <w:tcW w:w="20" w:type="dxa"/>
            <w:vAlign w:val="bottom"/>
            <w:tcBorders>
              <w:bottom w:val="single" w:sz="8" w:color="0000EE"/>
            </w:tcBorders>
          </w:tcPr>
          <w:p>
            <w:pPr>
              <w:spacing w:after="0"/>
              <w:rPr>
                <w:sz w:val="24"/>
                <w:szCs w:val="24"/>
                <w:color w:val="auto"/>
              </w:rPr>
            </w:pPr>
          </w:p>
        </w:tc>
        <w:tc>
          <w:tcPr>
            <w:tcW w:w="22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Indenture, dated as of January 4, 2013 by and between Theravance, Inc. and the Bank of New York</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272">
              <w:r>
                <w:rPr>
                  <w:rFonts w:ascii="Times New Roman" w:cs="Times New Roman" w:eastAsia="Times New Roman" w:hAnsi="Times New Roman"/>
                  <w:sz w:val="18"/>
                  <w:szCs w:val="18"/>
                  <w:color w:val="0000FF"/>
                  <w:w w:val="98"/>
                </w:rPr>
                <w:t>Mellon Trust Company, N.A., as trustee</w:t>
              </w:r>
            </w:hyperlink>
          </w:p>
        </w:tc>
        <w:tc>
          <w:tcPr>
            <w:tcW w:w="20" w:type="dxa"/>
            <w:vAlign w:val="bottom"/>
            <w:tcBorders>
              <w:top w:val="single" w:sz="8" w:color="0000FF"/>
              <w:bottom w:val="single" w:sz="8" w:color="0000EE"/>
            </w:tcBorders>
          </w:tcPr>
          <w:p>
            <w:pPr>
              <w:spacing w:after="0"/>
              <w:rPr>
                <w:sz w:val="14"/>
                <w:szCs w:val="14"/>
                <w:color w:val="auto"/>
              </w:rPr>
            </w:pPr>
          </w:p>
        </w:tc>
        <w:tc>
          <w:tcPr>
            <w:tcW w:w="42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Form of 2.125% Convertible Subordinated Note Due 2023 (included in Exhibit 4.2)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Indenture (including form of Note) with respect to Innoviva’s 2.5% Convertible Senior Notes due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2025, dated as of August 7, 2017, between Innoviva and The Bank of New York Mellon Trust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73">
              <w:r>
                <w:rPr>
                  <w:rFonts w:ascii="Times New Roman" w:cs="Times New Roman" w:eastAsia="Times New Roman" w:hAnsi="Times New Roman"/>
                  <w:sz w:val="18"/>
                  <w:szCs w:val="18"/>
                  <w:color w:val="0000FF"/>
                  <w:w w:val="98"/>
                </w:rPr>
                <w:t>Company, N.A., as trustee</w:t>
              </w:r>
            </w:hyperlink>
          </w:p>
        </w:tc>
        <w:tc>
          <w:tcPr>
            <w:tcW w:w="20" w:type="dxa"/>
            <w:vAlign w:val="bottom"/>
            <w:tcBorders>
              <w:top w:val="single" w:sz="8" w:color="0000FF"/>
              <w:bottom w:val="single" w:sz="8" w:color="0000EE"/>
            </w:tcBorders>
          </w:tcPr>
          <w:p>
            <w:pPr>
              <w:spacing w:after="0"/>
              <w:rPr>
                <w:sz w:val="14"/>
                <w:szCs w:val="14"/>
                <w:color w:val="auto"/>
              </w:rPr>
            </w:pPr>
          </w:p>
        </w:tc>
        <w:tc>
          <w:tcPr>
            <w:tcW w:w="4880" w:type="dxa"/>
            <w:vAlign w:val="bottom"/>
            <w:tcBorders>
              <w:top w:val="single" w:sz="8" w:color="0000FF"/>
            </w:tcBorders>
            <w:gridSpan w:val="2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Description of Registrant’s Securities Registered Pursuant to Section 12 of the Securities Exchange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Act of 1934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Indenture (including form of Note) with respect to Innoviva’s 2.125% Convertible Senior Notes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w w:val="98"/>
              </w:rPr>
            </w:pPr>
            <w:hyperlink r:id="rId275">
              <w:r>
                <w:rPr>
                  <w:rFonts w:ascii="Times New Roman" w:cs="Times New Roman" w:eastAsia="Times New Roman" w:hAnsi="Times New Roman"/>
                  <w:sz w:val="18"/>
                  <w:szCs w:val="18"/>
                  <w:color w:val="0000FF"/>
                  <w:w w:val="98"/>
                </w:rPr>
                <w:t>due 2028, dated as of March 7, 2022, between Innoviva and The Bank of New York Mellon Trust</w:t>
              </w:r>
            </w:hyperlink>
          </w:p>
        </w:tc>
        <w:tc>
          <w:tcPr>
            <w:tcW w:w="120" w:type="dxa"/>
            <w:vAlign w:val="bottom"/>
            <w:tcBorders>
              <w:bottom w:val="single" w:sz="8" w:color="0000FF"/>
            </w:tcBorders>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75">
              <w:r>
                <w:rPr>
                  <w:rFonts w:ascii="Times New Roman" w:cs="Times New Roman" w:eastAsia="Times New Roman" w:hAnsi="Times New Roman"/>
                  <w:sz w:val="18"/>
                  <w:szCs w:val="18"/>
                  <w:color w:val="0000FF"/>
                  <w:w w:val="98"/>
                </w:rPr>
                <w:t>Company, N.A., as trustee</w:t>
              </w:r>
            </w:hyperlink>
          </w:p>
        </w:tc>
        <w:tc>
          <w:tcPr>
            <w:tcW w:w="20" w:type="dxa"/>
            <w:vAlign w:val="bottom"/>
            <w:tcBorders>
              <w:bottom w:val="single" w:sz="8" w:color="0000EE"/>
            </w:tcBorders>
          </w:tcPr>
          <w:p>
            <w:pPr>
              <w:spacing w:after="0"/>
              <w:rPr>
                <w:sz w:val="14"/>
                <w:szCs w:val="14"/>
                <w:color w:val="auto"/>
              </w:rPr>
            </w:pPr>
          </w:p>
        </w:tc>
        <w:tc>
          <w:tcPr>
            <w:tcW w:w="5140" w:type="dxa"/>
            <w:vAlign w:val="bottom"/>
            <w:gridSpan w:val="2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4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Offer Letter between Innoviva, Inc. and Pavel Raifeld, dated April 29, 2022</w:t>
              </w:r>
            </w:hyperlink>
          </w:p>
        </w:tc>
        <w:tc>
          <w:tcPr>
            <w:tcW w:w="20" w:type="dxa"/>
            <w:vAlign w:val="bottom"/>
            <w:tcBorders>
              <w:bottom w:val="single" w:sz="8" w:color="0000EE"/>
            </w:tcBorders>
          </w:tcPr>
          <w:p>
            <w:pPr>
              <w:spacing w:after="0"/>
              <w:rPr>
                <w:sz w:val="24"/>
                <w:szCs w:val="24"/>
                <w:color w:val="auto"/>
              </w:rPr>
            </w:pPr>
          </w:p>
        </w:tc>
        <w:tc>
          <w:tcPr>
            <w:tcW w:w="17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Amendment No. 1 to the Investor Rights Agreement, dated May 23, 2022, by and among Innoviva,</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Inc. and Entasas Therapeutics Holdings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40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Support Agreement, dated July 10, 2022, by and among Innoviva, Inc., Innoviva Acquisition Sub,</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Inc., Tang Capital Partners, LP and Kevin C. Tang Foundation</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10"/>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Equity Purchase Agreement, dated July 13, 2022, by and among Innoviva, Inc., Innoviva TRC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Holdings LLC and Royalty Pharma Investments 2019 ICAV.</w:t>
              </w:r>
            </w:hyperlink>
          </w:p>
        </w:tc>
        <w:tc>
          <w:tcPr>
            <w:tcW w:w="40" w:type="dxa"/>
            <w:vAlign w:val="bottom"/>
          </w:tcPr>
          <w:p>
            <w:pPr>
              <w:spacing w:after="0"/>
              <w:rPr>
                <w:sz w:val="14"/>
                <w:szCs w:val="14"/>
                <w:color w:val="auto"/>
              </w:rPr>
            </w:pPr>
          </w:p>
        </w:tc>
        <w:tc>
          <w:tcPr>
            <w:tcW w:w="26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10"/>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Third Amendment to Collaboration Agreement, dated July 13, 2022, by and among Innoviva,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6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Glaxo Group Limited, and Theravance Respiratory Company, LLC.</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60" w:type="dxa"/>
            <w:vAlign w:val="bottom"/>
            <w:tcBorders>
              <w:right w:val="single" w:sz="8" w:color="0000EE"/>
            </w:tcBorders>
            <w:gridSpan w:val="14"/>
            <w:shd w:val="clear" w:color="auto" w:fill="0000FF"/>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240" w:type="dxa"/>
            <w:vAlign w:val="bottom"/>
            <w:gridSpan w:val="40"/>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 pursuant to the Securities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Exchange Act of 1934</w:t>
            </w:r>
          </w:p>
        </w:tc>
        <w:tc>
          <w:tcPr>
            <w:tcW w:w="20" w:type="dxa"/>
            <w:vAlign w:val="bottom"/>
            <w:tcBorders>
              <w:top w:val="single" w:sz="8" w:color="0000FF"/>
              <w:bottom w:val="single" w:sz="8" w:color="0000EE"/>
            </w:tcBorders>
          </w:tcPr>
          <w:p>
            <w:pPr>
              <w:spacing w:after="0"/>
              <w:rPr>
                <w:sz w:val="14"/>
                <w:szCs w:val="14"/>
                <w:color w:val="auto"/>
              </w:rPr>
            </w:pPr>
          </w:p>
        </w:tc>
        <w:tc>
          <w:tcPr>
            <w:tcW w:w="5260" w:type="dxa"/>
            <w:vAlign w:val="bottom"/>
            <w:tcBorders>
              <w:top w:val="single" w:sz="8" w:color="0000FF"/>
            </w:tcBorders>
            <w:gridSpan w:val="25"/>
          </w:tcPr>
          <w:p>
            <w:pPr>
              <w:spacing w:after="0"/>
              <w:rPr>
                <w:sz w:val="14"/>
                <w:szCs w:val="14"/>
                <w:color w:val="auto"/>
              </w:rPr>
            </w:pPr>
          </w:p>
        </w:tc>
        <w:tc>
          <w:tcPr>
            <w:tcW w:w="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7240" w:type="dxa"/>
            <w:vAlign w:val="bottom"/>
            <w:gridSpan w:val="40"/>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 pursuant to the Securities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Exchange Act of 1934</w:t>
            </w:r>
          </w:p>
        </w:tc>
        <w:tc>
          <w:tcPr>
            <w:tcW w:w="20" w:type="dxa"/>
            <w:vAlign w:val="bottom"/>
            <w:tcBorders>
              <w:top w:val="single" w:sz="8" w:color="0000FF"/>
              <w:bottom w:val="single" w:sz="8" w:color="0000EE"/>
            </w:tcBorders>
          </w:tcPr>
          <w:p>
            <w:pPr>
              <w:spacing w:after="0"/>
              <w:rPr>
                <w:sz w:val="14"/>
                <w:szCs w:val="14"/>
                <w:color w:val="auto"/>
              </w:rPr>
            </w:pPr>
          </w:p>
        </w:tc>
        <w:tc>
          <w:tcPr>
            <w:tcW w:w="5200" w:type="dxa"/>
            <w:vAlign w:val="bottom"/>
            <w:tcBorders>
              <w:top w:val="single" w:sz="8" w:color="0000FF"/>
            </w:tcBorders>
            <w:gridSpan w:val="23"/>
          </w:tcPr>
          <w:p>
            <w:pPr>
              <w:spacing w:after="0"/>
              <w:rPr>
                <w:sz w:val="14"/>
                <w:szCs w:val="14"/>
                <w:color w:val="auto"/>
              </w:rPr>
            </w:pPr>
          </w:p>
        </w:tc>
        <w:tc>
          <w:tcPr>
            <w:tcW w:w="4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040" w:hanging="10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-7620</wp:posOffset>
            </wp:positionV>
            <wp:extent cx="22726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2272665" cy="8255"/>
                    </a:xfrm>
                    <a:prstGeom prst="rect">
                      <a:avLst/>
                    </a:prstGeom>
                    <a:noFill/>
                  </pic:spPr>
                </pic:pic>
              </a:graphicData>
            </a:graphic>
          </wp:anchor>
        </w:drawing>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w:t>
            </w:r>
          </w:p>
        </w:tc>
      </w:tr>
      <w:tr>
        <w:trPr>
          <w:trHeight w:val="234"/>
        </w:trPr>
        <w:tc>
          <w:tcPr>
            <w:tcW w:w="84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 because XBRL tags are embedded within the Inline XBRL document.</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849"/>
        </w:trPr>
        <w:tc>
          <w:tcPr>
            <w:tcW w:w="840" w:type="dxa"/>
            <w:vAlign w:val="bottom"/>
          </w:tcPr>
          <w:p>
            <w:pPr>
              <w:spacing w:after="0"/>
              <w:rPr>
                <w:sz w:val="24"/>
                <w:szCs w:val="24"/>
                <w:color w:val="auto"/>
              </w:rPr>
            </w:pPr>
          </w:p>
        </w:tc>
        <w:tc>
          <w:tcPr>
            <w:tcW w:w="718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Pr>
          <w:p>
            <w:pPr>
              <w:spacing w:after="0"/>
              <w:rPr>
                <w:sz w:val="15"/>
                <w:szCs w:val="15"/>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8"/>
        </w:trPr>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r>
      <w:tr>
        <w:trPr>
          <w:trHeight w:val="148"/>
        </w:trPr>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r>
      <w:tr>
        <w:trPr>
          <w:trHeight w:val="200"/>
        </w:trPr>
        <w:tc>
          <w:tcPr>
            <w:tcW w:w="56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r>
      <w:tr>
        <w:trPr>
          <w:trHeight w:val="317"/>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5/24/2022</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7/11/2022</w:t>
            </w:r>
          </w:p>
        </w:tc>
      </w:tr>
      <w:tr>
        <w:trPr>
          <w:trHeight w:val="512"/>
        </w:trPr>
        <w:tc>
          <w:tcPr>
            <w:tcW w:w="5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S-1</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3.3</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7/26/2004</w:t>
            </w:r>
          </w:p>
        </w:tc>
      </w:tr>
      <w:tr>
        <w:trPr>
          <w:trHeight w:val="324"/>
        </w:trPr>
        <w:tc>
          <w:tcPr>
            <w:tcW w:w="5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10-Q</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3.4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3/31/2007</w:t>
            </w:r>
          </w:p>
        </w:tc>
      </w:tr>
      <w:tr>
        <w:trPr>
          <w:trHeight w:val="324"/>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1/8/2016</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2/9/2017</w:t>
            </w:r>
          </w:p>
        </w:tc>
      </w:tr>
      <w:tr>
        <w:trPr>
          <w:trHeight w:val="324"/>
        </w:trPr>
        <w:tc>
          <w:tcPr>
            <w:tcW w:w="5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12/31/2006</w:t>
            </w:r>
          </w:p>
        </w:tc>
      </w:tr>
      <w:tr>
        <w:trPr>
          <w:trHeight w:val="324"/>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1/25/2013</w:t>
            </w:r>
          </w:p>
        </w:tc>
      </w:tr>
      <w:tr>
        <w:trPr>
          <w:trHeight w:val="836"/>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8/7/2017</w:t>
            </w:r>
          </w:p>
        </w:tc>
      </w:tr>
      <w:tr>
        <w:trPr>
          <w:trHeight w:val="701"/>
        </w:trPr>
        <w:tc>
          <w:tcPr>
            <w:tcW w:w="5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4.9</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2/19/2020</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3/8/2022</w:t>
            </w:r>
          </w:p>
        </w:tc>
      </w:tr>
      <w:tr>
        <w:trPr>
          <w:trHeight w:val="701"/>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5/2/2022</w:t>
            </w:r>
          </w:p>
        </w:tc>
      </w:tr>
      <w:tr>
        <w:trPr>
          <w:trHeight w:val="324"/>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5/24/2022</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7/11/2022</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7/13/2022</w:t>
            </w:r>
          </w:p>
        </w:tc>
      </w:tr>
      <w:tr>
        <w:trPr>
          <w:trHeight w:val="512"/>
        </w:trPr>
        <w:tc>
          <w:tcPr>
            <w:tcW w:w="5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7/13/2022</w:t>
            </w:r>
          </w:p>
        </w:tc>
      </w:tr>
    </w:tbl>
    <w:p>
      <w:pPr>
        <w:sectPr>
          <w:pgSz w:w="11900" w:h="16838" w:orient="portrait"/>
          <w:cols w:equalWidth="0" w:num="2">
            <w:col w:w="8240" w:space="200"/>
            <w:col w:w="2800"/>
          </w:cols>
          <w:pgMar w:left="320" w:top="859"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89" w:lineRule="exact"/>
        <w:rPr>
          <w:sz w:val="20"/>
          <w:szCs w:val="20"/>
          <w:color w:val="auto"/>
        </w:rPr>
      </w:pPr>
    </w:p>
    <w:p>
      <w:pPr>
        <w:ind w:left="1020" w:hanging="1019"/>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71" w:right="1440"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Innoviva, Inc.</w:t>
      </w:r>
    </w:p>
    <w:p>
      <w:pPr>
        <w:spacing w:after="0" w:line="225" w:lineRule="exact"/>
        <w:rPr>
          <w:sz w:val="20"/>
          <w:szCs w:val="20"/>
          <w:color w:val="auto"/>
        </w:rPr>
      </w:pPr>
    </w:p>
    <w:p>
      <w:pPr>
        <w:ind w:left="20"/>
        <w:spacing w:after="0"/>
        <w:tabs>
          <w:tab w:leader="none" w:pos="782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Pavel Raifeld</w:t>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6"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Marianne Zhen</w:t>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Pavel Raifeld,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Innoviva, Inc.;</w:t>
      </w:r>
    </w:p>
    <w:p>
      <w:pPr>
        <w:spacing w:after="0" w:line="211" w:lineRule="exact"/>
        <w:rPr>
          <w:rFonts w:ascii="Times New Roman" w:cs="Times New Roman" w:eastAsia="Times New Roman" w:hAnsi="Times New Roman"/>
          <w:sz w:val="18"/>
          <w:szCs w:val="18"/>
          <w:color w:val="auto"/>
        </w:rPr>
      </w:pPr>
    </w:p>
    <w:p>
      <w:pPr>
        <w:jc w:val="both"/>
        <w:ind w:left="380" w:right="420" w:hanging="372"/>
        <w:spacing w:after="0" w:line="258"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380" w:right="420" w:hanging="372"/>
        <w:spacing w:after="0" w:line="26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60" w:hanging="372"/>
        <w:spacing w:after="0" w:line="258"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760" w:right="320" w:hanging="365"/>
        <w:spacing w:after="0" w:line="258" w:lineRule="auto"/>
        <w:tabs>
          <w:tab w:leader="none" w:pos="7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760" w:right="600" w:hanging="365"/>
        <w:spacing w:after="0" w:line="258" w:lineRule="auto"/>
        <w:tabs>
          <w:tab w:leader="none" w:pos="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8"/>
          <w:szCs w:val="18"/>
          <w:color w:val="auto"/>
        </w:rPr>
      </w:pPr>
    </w:p>
    <w:p>
      <w:pPr>
        <w:ind w:left="760" w:right="780" w:hanging="365"/>
        <w:spacing w:after="0" w:line="312" w:lineRule="auto"/>
        <w:tabs>
          <w:tab w:leader="none" w:pos="71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760" w:right="320" w:hanging="365"/>
        <w:spacing w:after="0" w:line="258" w:lineRule="auto"/>
        <w:tabs>
          <w:tab w:leader="none" w:pos="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240" w:hanging="365"/>
        <w:spacing w:after="0" w:line="281" w:lineRule="auto"/>
        <w:tabs>
          <w:tab w:leader="none" w:pos="7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760" w:right="180" w:hanging="365"/>
        <w:spacing w:after="0" w:line="266" w:lineRule="auto"/>
        <w:tabs>
          <w:tab w:leader="none" w:pos="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60" w:val="left"/>
          <w:tab w:leader="none" w:pos="782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Pavel Raifeld</w:t>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Marianne Zhen, certify that:</w:t>
      </w:r>
    </w:p>
    <w:p>
      <w:pPr>
        <w:spacing w:after="0" w:line="22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Innoviva, Inc.;</w:t>
      </w:r>
    </w:p>
    <w:p>
      <w:pPr>
        <w:spacing w:after="0" w:line="211" w:lineRule="exact"/>
        <w:rPr>
          <w:rFonts w:ascii="Times New Roman" w:cs="Times New Roman" w:eastAsia="Times New Roman" w:hAnsi="Times New Roman"/>
          <w:sz w:val="18"/>
          <w:szCs w:val="18"/>
          <w:color w:val="auto"/>
        </w:rPr>
      </w:pPr>
    </w:p>
    <w:p>
      <w:pPr>
        <w:jc w:val="both"/>
        <w:ind w:left="380" w:right="420" w:hanging="372"/>
        <w:spacing w:after="0" w:line="258"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380" w:right="420" w:hanging="372"/>
        <w:spacing w:after="0" w:line="266"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60" w:hanging="372"/>
        <w:spacing w:after="0" w:line="258"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760" w:right="320" w:hanging="365"/>
        <w:spacing w:after="0" w:line="258" w:lineRule="auto"/>
        <w:tabs>
          <w:tab w:leader="none" w:pos="7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760" w:right="600" w:hanging="365"/>
        <w:spacing w:after="0" w:line="258"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8"/>
          <w:szCs w:val="18"/>
          <w:color w:val="auto"/>
        </w:rPr>
      </w:pPr>
    </w:p>
    <w:p>
      <w:pPr>
        <w:ind w:left="760" w:right="780" w:hanging="365"/>
        <w:spacing w:after="0" w:line="312" w:lineRule="auto"/>
        <w:tabs>
          <w:tab w:leader="none" w:pos="71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760" w:right="320" w:hanging="365"/>
        <w:spacing w:after="0" w:line="258"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240" w:hanging="365"/>
        <w:spacing w:after="0" w:line="281" w:lineRule="auto"/>
        <w:tabs>
          <w:tab w:leader="none" w:pos="7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760" w:right="180" w:hanging="365"/>
        <w:spacing w:after="0" w:line="266"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60" w:val="left"/>
          <w:tab w:leader="none" w:pos="776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35617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Marianne Zhen</w:t>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 Pavel Raifeld, certify, pursuant to 18 U.S.C. Section 1350, as adopted pursuant to Section 906 of the Sarbanes-Oxley Act of 2002, that the Quarterly Report of Innoviva, Inc. on Form 10-Q for the period ended June 30, 2022 fully complies with the requirements of Section 13(a) or 15(d) of the Securities Exchange Act of 1934, as amended and that information contained in such Quarterly Report on Form 10-Q fairly presents in all material respects the financial condition of Innoviva, Inc. at the end of the periods covered by such Quarterly Report on Form 10-Q and results of operations of Innoviva, Inc. for the periods covered by such Quarterly Report on Form 10-Q.</w:t>
      </w:r>
    </w:p>
    <w:p>
      <w:pPr>
        <w:spacing w:after="0" w:line="220" w:lineRule="exact"/>
        <w:rPr>
          <w:sz w:val="20"/>
          <w:szCs w:val="20"/>
          <w:color w:val="auto"/>
        </w:rPr>
      </w:pPr>
    </w:p>
    <w:p>
      <w:pPr>
        <w:ind w:left="20"/>
        <w:spacing w:after="0"/>
        <w:tabs>
          <w:tab w:leader="none" w:pos="5600" w:val="left"/>
          <w:tab w:leader="none" w:pos="798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648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Pavel Raifeld</w:t>
      </w:r>
    </w:p>
    <w:p>
      <w:pPr>
        <w:spacing w:after="0" w:line="2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 Marianne Zhen, certify, pursuant to 18 U.S.C. Section 1350, as adopted pursuant to Section 906 of the Sarbanes-Oxley Act of 2002, that the Quarterly Report of Innoviva, Inc. on Form 10-Q for the period ended June 30, 2022 fully complies with the requirements of Section 13(a) or 15(d) of the Securities Exchange Act of 1934, as amended and that information contained in such Quarterly Report on Form 10-Q fairly presents in all material respects the financial condition of Innoviva, Inc. at the end of the periods covered by such Quarterly Report on Form 10-Q and results of operations of Innoviva, Inc. for the periods covered by such Quarterly Report on Form 10-Q.</w:t>
      </w:r>
    </w:p>
    <w:p>
      <w:pPr>
        <w:spacing w:after="0" w:line="203" w:lineRule="exact"/>
        <w:rPr>
          <w:sz w:val="20"/>
          <w:szCs w:val="20"/>
          <w:color w:val="auto"/>
        </w:rPr>
      </w:pPr>
    </w:p>
    <w:p>
      <w:pPr>
        <w:ind w:left="20"/>
        <w:spacing w:after="0"/>
        <w:tabs>
          <w:tab w:leader="none" w:pos="5600" w:val="left"/>
          <w:tab w:leader="none" w:pos="792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648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Marianne Zhen</w:t>
      </w:r>
    </w:p>
    <w:p>
      <w:pPr>
        <w:spacing w:after="0" w:line="2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65" Type="http://schemas.openxmlformats.org/officeDocument/2006/relationships/hyperlink" Target="https://www.sec.gov/Archives/edgar/data/1080014/000114036122020321/ny20004305x1_ex2-1.htm" TargetMode="External"/><Relationship Id="rId266" Type="http://schemas.openxmlformats.org/officeDocument/2006/relationships/hyperlink" Target="https://www.sec.gov/Archives/edgar/data/1080014/000114036122025657/ny20004741x1_ex2-1.htm" TargetMode="External"/><Relationship Id="rId267" Type="http://schemas.openxmlformats.org/officeDocument/2006/relationships/hyperlink" Target="https://www.sec.gov/Archives/edgar/data/1080014/000104746904024286/a2140025zex-3_3.htm" TargetMode="External"/><Relationship Id="rId268" Type="http://schemas.openxmlformats.org/officeDocument/2006/relationships/hyperlink" Target="https://www.sec.gov/Archives/edgar/data/1080014/000110465907036933/a07-10633_1ex3d4.htm" TargetMode="External"/><Relationship Id="rId269" Type="http://schemas.openxmlformats.org/officeDocument/2006/relationships/hyperlink" Target="https://www.sec.gov/Archives/edgar/data/1080014/000110465916088785/a16-1366_1ex3d1.htm" TargetMode="External"/><Relationship Id="rId270" Type="http://schemas.openxmlformats.org/officeDocument/2006/relationships/hyperlink" Target="https://www.sec.gov/Archives/edgar/data/1080014/000110465917007849/a17-4037_1ex3d1.htm" TargetMode="External"/><Relationship Id="rId271" Type="http://schemas.openxmlformats.org/officeDocument/2006/relationships/hyperlink" Target="https://www.sec.gov/Archives/edgar/data/1080014/000110465907015079/a07-1942_1ex4d1.htm" TargetMode="External"/><Relationship Id="rId272" Type="http://schemas.openxmlformats.org/officeDocument/2006/relationships/hyperlink" Target="https://www.sec.gov/Archives/edgar/data/1080014/000110465913004773/a12-25051_9ex4d1.htm" TargetMode="External"/><Relationship Id="rId273" Type="http://schemas.openxmlformats.org/officeDocument/2006/relationships/hyperlink" Target="https://www.sec.gov/Archives/edgar/data/1080014/000110465917049927/a17-18560_4ex4d1.htm" TargetMode="External"/><Relationship Id="rId274" Type="http://schemas.openxmlformats.org/officeDocument/2006/relationships/hyperlink" Target="https://www.sec.gov/Archives/edgar/data/1080014/000110465920022807/ex-4d9.htm" TargetMode="External"/><Relationship Id="rId275" Type="http://schemas.openxmlformats.org/officeDocument/2006/relationships/hyperlink" Target="https://www.sec.gov/Archives/edgar/data/0001080014/000110465922031613/tm228653d1_ex4-1.htm" TargetMode="External"/><Relationship Id="rId276" Type="http://schemas.openxmlformats.org/officeDocument/2006/relationships/hyperlink" Target="https://www.sec.gov/Archives/edgar/data/1080014/000089914022000493/i5271437b.htm" TargetMode="External"/><Relationship Id="rId277" Type="http://schemas.openxmlformats.org/officeDocument/2006/relationships/hyperlink" Target="https://www.sec.gov/Archives/edgar/data/1080014/000114036122020321/ny20004305x1_ex10-1.htm" TargetMode="External"/><Relationship Id="rId278" Type="http://schemas.openxmlformats.org/officeDocument/2006/relationships/hyperlink" Target="https://www.sec.gov/Archives/edgar/data/1080014/000114036122025657/ny20004741x1_ex10-1.htm" TargetMode="External"/><Relationship Id="rId279" Type="http://schemas.openxmlformats.org/officeDocument/2006/relationships/hyperlink" Target="https://www.sec.gov/Archives/edgar/data/1080014/000114036122025945/ny20004764x1_ex10-1.htm" TargetMode="External"/><Relationship Id="rId280" Type="http://schemas.openxmlformats.org/officeDocument/2006/relationships/hyperlink" Target="https://www.sec.gov/Archives/edgar/data/1080014/000114036122025945/ny20004764x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2022-07-27T16:44:38Z</dcterms:created>
  <dcterms:modified xsi:type="dcterms:W3CDTF">2022-07-27T16:44:38Z</dcterms:modified>
</cp:coreProperties>
</file>