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28097d8k.htm"/>
      <w:bookmarkStart w:id="1" w:name="ksd22809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INNOVIVA,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2825"/>
        <w:gridCol w:w="60"/>
        <w:gridCol w:w="138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000-30319</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94-3265960</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180" w:after="0"/>
        <w:jc w:val="center"/>
        <w:rPr>
          <w:rFonts w:ascii="Times New Roman" w:hAnsi="Times New Roman"/>
          <w:b/>
          <w:sz w:val="20"/>
        </w:rPr>
      </w:pPr>
      <w:r>
        <w:rPr>
          <w:rFonts w:ascii="Times New Roman" w:hAnsi="Times New Roman"/>
          <w:b/>
          <w:sz w:val="20"/>
        </w:rPr>
        <w:t>1350 Old Bayshore Highway,</w:t>
      </w:r>
    </w:p>
    <w:p>
      <w:pPr>
        <w:pStyle w:val="TextBody"/>
        <w:bidi w:val="0"/>
        <w:spacing w:before="0" w:after="0"/>
        <w:jc w:val="center"/>
        <w:rPr>
          <w:rFonts w:ascii="Times New Roman" w:hAnsi="Times New Roman"/>
          <w:b/>
          <w:sz w:val="20"/>
        </w:rPr>
      </w:pPr>
      <w:r>
        <w:rPr>
          <w:rFonts w:ascii="Times New Roman" w:hAnsi="Times New Roman"/>
          <w:b/>
          <w:sz w:val="20"/>
        </w:rPr>
        <w:t>Suite 400</w:t>
      </w:r>
    </w:p>
    <w:p>
      <w:pPr>
        <w:pStyle w:val="TextBody"/>
        <w:bidi w:val="0"/>
        <w:spacing w:before="0" w:after="0"/>
        <w:jc w:val="center"/>
        <w:rPr>
          <w:rFonts w:ascii="Times New Roman" w:hAnsi="Times New Roman"/>
          <w:b/>
          <w:sz w:val="20"/>
        </w:rPr>
      </w:pPr>
      <w:r>
        <w:rPr>
          <w:rFonts w:ascii="Times New Roman" w:hAnsi="Times New Roman"/>
          <w:b/>
          <w:sz w:val="20"/>
        </w:rPr>
        <w:t>Burlingame, California 94010</w:t>
      </w:r>
    </w:p>
    <w:p>
      <w:pPr>
        <w:pStyle w:val="TextBody"/>
        <w:bidi w:val="0"/>
        <w:spacing w:before="0" w:after="0"/>
        <w:jc w:val="center"/>
        <w:rPr>
          <w:rFonts w:ascii="Times New Roman" w:hAnsi="Times New Roman"/>
          <w:b/>
          <w:sz w:val="20"/>
        </w:rPr>
      </w:pPr>
      <w:r>
        <w:rPr>
          <w:rFonts w:ascii="Times New Roman" w:hAnsi="Times New Roman"/>
          <w:b/>
          <w:sz w:val="20"/>
        </w:rPr>
        <w:t>(650) 238-9600</w:t>
      </w:r>
    </w:p>
    <w:p>
      <w:pPr>
        <w:pStyle w:val="TextBody"/>
        <w:bidi w:val="0"/>
        <w:spacing w:before="0" w:after="0"/>
        <w:jc w:val="center"/>
        <w:rPr>
          <w:rFonts w:ascii="Times New Roman" w:hAnsi="Times New Roman"/>
          <w:b/>
          <w:sz w:val="16"/>
        </w:rPr>
      </w:pPr>
      <w:r>
        <w:rPr>
          <w:rFonts w:ascii="Times New Roman" w:hAnsi="Times New Roman"/>
          <w:b/>
          <w:sz w:val="16"/>
        </w:rPr>
        <w:t>(Addresses, including zip code, and telephone numbers, including area code, of principal executive offices)</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460" w:type="dxa"/>
        <w:jc w:val="left"/>
        <w:tblInd w:w="0" w:type="dxa"/>
        <w:tblLayout w:type="fixed"/>
        <w:tblCellMar>
          <w:top w:w="0" w:type="dxa"/>
          <w:left w:w="0" w:type="dxa"/>
          <w:bottom w:w="0" w:type="dxa"/>
          <w:right w:w="0" w:type="dxa"/>
        </w:tblCellMar>
      </w:tblPr>
      <w:tblGrid>
        <w:gridCol w:w="4025"/>
        <w:gridCol w:w="60"/>
        <w:gridCol w:w="740"/>
        <w:gridCol w:w="60"/>
        <w:gridCol w:w="357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INVA</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05" w:type="dxa"/>
        <w:jc w:val="left"/>
        <w:tblInd w:w="0" w:type="dxa"/>
        <w:tblLayout w:type="fixed"/>
        <w:tblCellMar>
          <w:top w:w="0" w:type="dxa"/>
          <w:left w:w="0" w:type="dxa"/>
          <w:bottom w:w="0" w:type="dxa"/>
          <w:right w:w="0" w:type="dxa"/>
        </w:tblCellMar>
      </w:tblPr>
      <w:tblGrid>
        <w:gridCol w:w="1025"/>
        <w:gridCol w:w="3980"/>
      </w:tblGrid>
      <w:tr>
        <w:trPr/>
        <w:tc>
          <w:tcPr>
            <w:tcW w:w="102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2026, Innoviva, Inc. (the “Company”) issued a press release regarding its results of operations and financial condition for the quarter ended June 30, 2026. A copy of the press release is furnished as Exhibit 99.1 to this Current Report.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2.02 of this Current Report on Form 8-K, including Exhibit 99.1, is being furnished and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455"/>
        <w:gridCol w:w="60"/>
        <w:gridCol w:w="933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3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w:anchor="d228097dex991.htm">
              <w:r>
                <w:rPr>
                  <w:rStyle w:val="InternetLink"/>
                </w:rPr>
                <w:t xml:space="preserve">Press Release dated August 5,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39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r>
              <w:rPr/>
              <w:t>Cover Page Interactive File (the cover page tags are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963" w:type="dxa"/>
        <w:jc w:val="left"/>
        <w:tblInd w:w="0" w:type="dxa"/>
        <w:tblLayout w:type="fixed"/>
        <w:tblCellMar>
          <w:top w:w="0" w:type="dxa"/>
          <w:left w:w="0" w:type="dxa"/>
          <w:bottom w:w="0" w:type="dxa"/>
          <w:right w:w="0" w:type="dxa"/>
        </w:tblCellMar>
      </w:tblPr>
      <w:tblGrid>
        <w:gridCol w:w="651"/>
        <w:gridCol w:w="1027"/>
        <w:gridCol w:w="395"/>
        <w:gridCol w:w="60"/>
        <w:gridCol w:w="365"/>
        <w:gridCol w:w="60"/>
        <w:gridCol w:w="2405"/>
      </w:tblGrid>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30" w:type="dxa"/>
            <w:gridSpan w:val="3"/>
            <w:tcBorders/>
            <w:vAlign w:val="center"/>
          </w:tcPr>
          <w:p>
            <w:pPr>
              <w:pStyle w:val="TableContents"/>
              <w:bidi w:val="0"/>
              <w:spacing w:before="0" w:after="283"/>
              <w:jc w:val="left"/>
              <w:rPr>
                <w:b/>
              </w:rPr>
            </w:pPr>
            <w:r>
              <w:rPr>
                <w:b/>
              </w:rPr>
              <w:t>INNOVIVA, INC.</w:t>
            </w:r>
          </w:p>
        </w:tc>
      </w:tr>
      <w:tr>
        <w:trPr/>
        <w:tc>
          <w:tcPr>
            <w:tcW w:w="2073" w:type="dxa"/>
            <w:gridSpan w:val="3"/>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465" w:type="dxa"/>
            <w:gridSpan w:val="2"/>
            <w:tcBorders/>
            <w:vAlign w:val="center"/>
          </w:tcPr>
          <w:p>
            <w:pPr>
              <w:pStyle w:val="TableContents"/>
              <w:bidi w:val="0"/>
              <w:spacing w:before="0" w:after="283"/>
              <w:jc w:val="left"/>
              <w:rPr>
                <w:sz w:val="4"/>
                <w:szCs w:val="4"/>
              </w:rPr>
            </w:pPr>
            <w:r>
              <w:rPr>
                <w:sz w:val="4"/>
                <w:szCs w:val="4"/>
              </w:rPr>
            </w:r>
          </w:p>
        </w:tc>
      </w:tr>
      <w:tr>
        <w:trPr/>
        <w:tc>
          <w:tcPr>
            <w:tcW w:w="2073" w:type="dxa"/>
            <w:gridSpan w:val="3"/>
            <w:tcBorders/>
            <w:vAlign w:val="center"/>
          </w:tcPr>
          <w:p>
            <w:pPr>
              <w:pStyle w:val="TableContents"/>
              <w:bidi w:val="0"/>
              <w:spacing w:before="0" w:after="283"/>
              <w:jc w:val="left"/>
              <w:rPr/>
            </w:pPr>
            <w:r>
              <w:rPr/>
              <w:t>Date: August 5,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Pavel Raifeld</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b/>
              </w:rPr>
            </w:pPr>
            <w:r>
              <w:rPr>
                <w:b/>
              </w:rPr>
              <w:t>Pavel Raifeld</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b/>
              </w:rPr>
            </w:pPr>
            <w:r>
              <w:rPr>
                <w:b/>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p>
    <w:p>
      <w:pPr>
        <w:pStyle w:val="TextBody"/>
        <w:bidi w:val="0"/>
        <w:spacing w:before="0" w:after="0"/>
        <w:jc w:val="right"/>
        <w:rPr>
          <w:rFonts w:ascii="Times New Roman" w:hAnsi="Times New Roman"/>
          <w:b/>
          <w:sz w:val="20"/>
        </w:rPr>
      </w:pPr>
      <w:bookmarkStart w:id="2" w:name="d228097dex991.htm"/>
      <w:bookmarkStart w:id="3" w:name="ksd22809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573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247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Innoviva Reports Second Quarter 2026 Financial Results; Highlights Recent Company Progress </w:t>
      </w:r>
    </w:p>
    <w:p>
      <w:pPr>
        <w:pStyle w:val="TextBody"/>
        <w:bidi w:val="0"/>
        <w:spacing w:before="240" w:after="0"/>
        <w:jc w:val="center"/>
        <w:rPr>
          <w:rFonts w:ascii="Times New Roman" w:hAnsi="Times New Roman"/>
          <w:i/>
          <w:sz w:val="20"/>
        </w:rPr>
      </w:pPr>
      <w:r>
        <w:rPr>
          <w:rFonts w:ascii="Times New Roman" w:hAnsi="Times New Roman"/>
          <w:i/>
          <w:sz w:val="20"/>
        </w:rPr>
        <w:t xml:space="preserve">IST achieved U.S. net product sales of $36.6 million in the second quarter, representing 26% year-over-year growth </w:t>
      </w:r>
    </w:p>
    <w:p>
      <w:pPr>
        <w:pStyle w:val="TextBody"/>
        <w:bidi w:val="0"/>
        <w:spacing w:before="240" w:after="0"/>
        <w:jc w:val="center"/>
        <w:rPr>
          <w:rFonts w:ascii="Times New Roman" w:hAnsi="Times New Roman"/>
          <w:i/>
          <w:sz w:val="20"/>
        </w:rPr>
      </w:pPr>
      <w:r>
        <w:rPr>
          <w:rFonts w:ascii="Times New Roman" w:hAnsi="Times New Roman"/>
          <w:i/>
          <w:sz w:val="20"/>
        </w:rPr>
        <w:t xml:space="preserve">Royalties portfolio generated $59.8 million in second quarter revenue </w:t>
      </w:r>
    </w:p>
    <w:p>
      <w:pPr>
        <w:pStyle w:val="TextBody"/>
        <w:bidi w:val="0"/>
        <w:spacing w:before="240" w:after="0"/>
        <w:jc w:val="center"/>
        <w:rPr>
          <w:rFonts w:ascii="Times New Roman" w:hAnsi="Times New Roman"/>
          <w:i/>
          <w:sz w:val="20"/>
        </w:rPr>
      </w:pPr>
      <w:r>
        <w:rPr>
          <w:rFonts w:ascii="Times New Roman" w:hAnsi="Times New Roman"/>
          <w:i/>
          <w:sz w:val="20"/>
        </w:rPr>
        <w:t xml:space="preserve">Launch of wholly-owned Strategic Healthcare Asset, Nortiva Bio, focused on novel extended-release drug delivery technology </w:t>
      </w:r>
    </w:p>
    <w:p>
      <w:pPr>
        <w:pStyle w:val="TextBody"/>
        <w:bidi w:val="0"/>
        <w:spacing w:before="240" w:after="0"/>
        <w:jc w:val="left"/>
        <w:rPr>
          <w:rFonts w:ascii="Times New Roman" w:hAnsi="Times New Roman"/>
          <w:sz w:val="20"/>
        </w:rPr>
      </w:pPr>
      <w:r>
        <w:rPr>
          <w:rFonts w:ascii="Times New Roman" w:hAnsi="Times New Roman"/>
          <w:b/>
          <w:sz w:val="20"/>
        </w:rPr>
        <w:t>BURLINGAME, Calif. – Aug 5, 2026</w:t>
      </w:r>
      <w:r>
        <w:rPr>
          <w:rFonts w:ascii="Times New Roman" w:hAnsi="Times New Roman"/>
          <w:sz w:val="20"/>
        </w:rPr>
        <w:t xml:space="preserve"> – Innoviva, Inc. (NASDAQ: INVA) (“Innoviva” or the “Company”), a diversified biopharmaceutical company with a core royalties portfolio, a leading critical care and infectious disease platform known as Innoviva Specialty Therapeutics (“IST”), and a portfolio of strategic investments in healthcare assets, today reported financial results for the second quarter ended June 30, 2026, and highlighted select corporate progress and achievements. </w:t>
      </w:r>
    </w:p>
    <w:p>
      <w:pPr>
        <w:pStyle w:val="TextBody"/>
        <w:bidi w:val="0"/>
        <w:spacing w:before="240" w:after="0"/>
        <w:jc w:val="left"/>
        <w:rPr/>
      </w:pPr>
      <w:r>
        <w:rPr/>
        <w:t>“</w:t>
      </w:r>
      <w:r>
        <w:rPr>
          <w:rFonts w:ascii="Times New Roman" w:hAnsi="Times New Roman"/>
          <w:sz w:val="20"/>
        </w:rPr>
        <w:t xml:space="preserve">Innoviva delivered another strong quarter, supported by durable cash generation from our royalty portfolio and continued excellent commercial momentum at IST, which achieved 46% year-over-year net product sales growth, including 26% growth in U.S. sales. We remain on track to achieve at least $150 million in IST U.S. net product sales in 2026, reflecting the differentiation of our marketed critical care and infectious disease portfolio and robust execution,” said Pavel Raifeld, Chief Executive Officer of Innoviva. </w:t>
      </w:r>
    </w:p>
    <w:p>
      <w:pPr>
        <w:pStyle w:val="TextBody"/>
        <w:bidi w:val="0"/>
        <w:spacing w:before="240" w:after="0"/>
        <w:jc w:val="left"/>
        <w:rPr/>
      </w:pPr>
      <w:r>
        <w:rPr/>
        <w:t>“</w:t>
      </w:r>
      <w:r>
        <w:rPr>
          <w:rFonts w:ascii="Times New Roman" w:hAnsi="Times New Roman"/>
          <w:sz w:val="20"/>
        </w:rPr>
        <w:t xml:space="preserve">Recently, we also advanced several growth opportunities. This quarter, we announced a commercialization and licensing agreement with Dr. Reddy’s Laboratories, expanding access to our top-performing antibiotic, XACDURO, in emerging markets. Additionally, we launched Nortiva Bio, a novel platform for long-acting oral medicine delivery, with large upside potential.” </w:t>
      </w:r>
    </w:p>
    <w:p>
      <w:pPr>
        <w:pStyle w:val="TextBody"/>
        <w:bidi w:val="0"/>
        <w:spacing w:before="240" w:after="0"/>
        <w:jc w:val="left"/>
        <w:rPr/>
      </w:pPr>
      <w:r>
        <w:rPr/>
        <w:t>“</w:t>
      </w:r>
      <w:r>
        <w:rPr>
          <w:rFonts w:ascii="Times New Roman" w:hAnsi="Times New Roman"/>
          <w:sz w:val="20"/>
        </w:rPr>
        <w:t xml:space="preserve">Overall, we have been pleased with progress across our healthcare asset portfolio, despite market volatility. Our continued activity under the share repurchase program reflects our sustained conviction in the long-term prospects of our diversified business model — one that combines durable cash generation, strong operating revenue growth, and value creation in high-potential strategic opportunities.”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Highlights for the Second Quarter of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Total revenue:</w:t>
            </w:r>
            <w:r>
              <w:rPr>
                <w:rFonts w:ascii="Times New Roman" w:hAnsi="Times New Roman"/>
                <w:sz w:val="20"/>
              </w:rPr>
              <w:t xml:space="preserve"> $119.6 million, representing 19% year-on-year growth compared to $100.3 million for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Royalty revenue:</w:t>
            </w:r>
            <w:r>
              <w:rPr>
                <w:rFonts w:ascii="Times New Roman" w:hAnsi="Times New Roman"/>
                <w:sz w:val="20"/>
              </w:rPr>
              <w:t xml:space="preserve"> gross royalty revenue from Glaxo Group Limited (“GSK”) remains stable at $59.8 million in the second quarter of 2026, a 2% increase compared to $58.6 million in the first quarter of 2026.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657350"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57350" cy="2476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Net product sales:</w:t>
            </w:r>
            <w:r>
              <w:rPr>
                <w:rFonts w:ascii="Times New Roman" w:hAnsi="Times New Roman"/>
                <w:sz w:val="20"/>
              </w:rPr>
              <w:t xml:space="preserve"> $51.8 million ($36.6 million U.S. and $15.2 million ex-U.S.), representing 46% growth compared to $35.5 million in the second quarter of 2025. U.S. net product sales primarily consisted of $21.0 million from GIAPREZA®, $12.0 million from XACDURO®, and $3.3 million from XERAVA®.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Income from operations:</w:t>
            </w:r>
            <w:r>
              <w:rPr>
                <w:rFonts w:ascii="Times New Roman" w:hAnsi="Times New Roman"/>
                <w:sz w:val="20"/>
              </w:rPr>
              <w:t xml:space="preserve"> $50.9 million, compared to $48.8 million for the second quarter of 2025, reflecting higher net product sales and continued operating discipline.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Equity and long-term investments:</w:t>
            </w:r>
            <w:r>
              <w:rPr>
                <w:rFonts w:ascii="Times New Roman" w:hAnsi="Times New Roman"/>
                <w:sz w:val="20"/>
              </w:rPr>
              <w:t xml:space="preserve"> net unfavorable changes in fair value of equity and long-term investments totaled $161.0 million, primarily attributable to a lower share price of Armata Pharmaceuticals. Innoviva’s strategic healthcare investments were valued at $669.5 million as of June 30, 2026, and consisted of $457.7 million in Armata Pharmaceuticals, $177.3 million in other strategic equity and convertible debt, and $34.5 million held by ISP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Net income:</w:t>
            </w:r>
            <w:r>
              <w:rPr>
                <w:rFonts w:ascii="Times New Roman" w:hAnsi="Times New Roman"/>
                <w:sz w:val="20"/>
              </w:rPr>
              <w:t xml:space="preserve"> net loss of $83.4 million, or $1.14 basic loss per share, driven primarily by decrease in fair value of equity and long-term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 Totaled $570.4 million. Royalty and net product sales receivables totaled $110.6 million as of June 30, 2026, a 25% year-on-year increase compared to $88.3 million for the second quarter of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Key Business and R&amp;D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XACDURO®</w:t>
            </w:r>
            <w:r>
              <w:rPr>
                <w:rFonts w:ascii="Times New Roman" w:hAnsi="Times New Roman"/>
                <w:sz w:val="20"/>
              </w:rPr>
              <w:t xml:space="preserve"> </w:t>
            </w:r>
            <w:r>
              <w:rPr>
                <w:rFonts w:ascii="Times New Roman" w:hAnsi="Times New Roman"/>
                <w:b/>
                <w:sz w:val="20"/>
              </w:rPr>
              <w:t>(sulbactam for injection; durlobactam for injection)</w:t>
            </w:r>
            <w:r>
              <w:rPr>
                <w:rFonts w:ascii="Times New Roman" w:hAnsi="Times New Roman"/>
                <w:sz w:val="20"/>
              </w:rPr>
              <w:t xml:space="preserve">, co-packaged for intravenous use: a targeted antibacterial treatment for patients with hospital-acquired bacterial pneumonia and ventilator-associated bacterial pneumonia (HABP/VABP) caused by susceptible isolates of </w:t>
            </w:r>
            <w:r>
              <w:rPr>
                <w:rFonts w:ascii="Times New Roman" w:hAnsi="Times New Roman"/>
                <w:i/>
                <w:sz w:val="20"/>
              </w:rPr>
              <w:t>Acinetobacter baumannii-calcoaceticus</w:t>
            </w:r>
            <w:r>
              <w:rPr>
                <w:rFonts w:ascii="Times New Roman" w:hAnsi="Times New Roman"/>
                <w:sz w:val="20"/>
              </w:rPr>
              <w:t xml:space="preserve"> complex.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second quarter, IST entered into an exclusive distribution and licensing agreement with Dr. Reddy’s Laboratories Ltd., a global pharmaceutical company, for the development and commercialization of XACDURO® in South and Central America, the Caribbean, Russia and Commonwealth of Independent States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Strategic Healthcare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second quarter, Innoviva launched Nortiva Bio (a wholly owned subsidiary), to advance the proprietary LYNX long-acting oral drug delivery platform. The LYNX platform is designed to transform daily oral medicines into less frequent dosing regimens, including once-weekly or once-monthly therapies. The platform is designed to improve patient adherence, stabilize drug exposure, and enhance clinical and commercial value by enabling less frequent oral dosing.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Nortiva is advancing a lead once-monthly oral drug therapy development program (via support from the Gates Foundation) and building an external partnering pipeline to enable the development of long-acting oral versions of branded and generic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Capital Allocation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second quarter of 2026, Innoviva repurchased 1,403,247 shares for $31.4 million under its $125 million share repurchase program. Since inception, and through the end of the second quarter, the Company has repurchased 2,602,168 shares for $56.4 million, reflecting the Company’s continued confidence in its intrinsic value and long-term outlook.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second quarter of 2026, Innoviva continued to support companies in its strategic healthcare asset portfolio with $55.0 million aggregate capital commitment.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247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57350" cy="2476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Innoviva </w:t>
      </w:r>
    </w:p>
    <w:p>
      <w:pPr>
        <w:pStyle w:val="TextBody"/>
        <w:bidi w:val="0"/>
        <w:spacing w:before="120" w:after="0"/>
        <w:jc w:val="left"/>
        <w:rPr>
          <w:rFonts w:ascii="Times New Roman" w:hAnsi="Times New Roman"/>
          <w:sz w:val="20"/>
        </w:rPr>
      </w:pPr>
      <w:r>
        <w:rPr>
          <w:rFonts w:ascii="Times New Roman" w:hAnsi="Times New Roman"/>
          <w:sz w:val="20"/>
        </w:rPr>
        <w:t xml:space="preserve">Innoviva is a diversified biopharmaceutical company with a core royalties portfolio, a leading critical care and infectious disease platform known as Innoviva Specialty Therapeutics (“IST”), and a portfolio of strategic investments in healthcare assets. Innoviva’s royalty portfolio includes respiratory assets partnered with Glaxo Group Limited (“GSK”). Innoviva is entitled to receive royalties from GSK on sales of RELVAR®/BREO® ELLIPTA® and ANORO® ELLIPTA®. Innoviva’s critical care and infectious disease assets under the IST platform include GIAPREZA® (angiotensin II) for increasing blood pressure in adults with septic or other distributive shock, XACDURO® (sulbactam for injection; durlobactam for injection), co-packaged for intravenous use for the treatment of adults with hospital-acquired and ventilator-associated bacterial pneumonia caused by susceptible strains of </w:t>
      </w:r>
      <w:r>
        <w:rPr>
          <w:rFonts w:ascii="Times New Roman" w:hAnsi="Times New Roman"/>
          <w:i/>
          <w:sz w:val="20"/>
        </w:rPr>
        <w:t>Acinetobacter</w:t>
      </w:r>
      <w:r>
        <w:rPr>
          <w:rFonts w:ascii="Times New Roman" w:hAnsi="Times New Roman"/>
          <w:sz w:val="20"/>
        </w:rPr>
        <w:t xml:space="preserve"> </w:t>
      </w:r>
      <w:r>
        <w:rPr>
          <w:rFonts w:ascii="Times New Roman" w:hAnsi="Times New Roman"/>
          <w:i/>
          <w:sz w:val="20"/>
        </w:rPr>
        <w:t>baumannii-calcoaceticus</w:t>
      </w:r>
      <w:r>
        <w:rPr>
          <w:rFonts w:ascii="Times New Roman" w:hAnsi="Times New Roman"/>
          <w:sz w:val="20"/>
        </w:rPr>
        <w:t xml:space="preserve">, XERAVA® (eravacycline) for the treatment of complicated intra-abdominal infections in adults, ZEVTERA (ceftobiprole), an advanced-generation cephalosporin antibiotic licensed from Basilea Pharmaceutica International Ltd, Allschwil, and NUZOLVENCE® (zoliflodacin), approved by the FDA for the oral treatment of uncomplicated urogenital gonorrhea in adults and pediatric patients 12 years of age and older weighing at least 35 kg. For more information about Innoviva, go to </w:t>
      </w:r>
      <w:r>
        <w:rPr>
          <w:rFonts w:ascii="Times New Roman" w:hAnsi="Times New Roman"/>
          <w:sz w:val="20"/>
          <w:u w:val="single"/>
        </w:rPr>
        <w:t>www.inva.com</w:t>
      </w:r>
      <w:r>
        <w:rPr>
          <w:rFonts w:ascii="Times New Roman" w:hAnsi="Times New Roman"/>
          <w:sz w:val="20"/>
        </w:rPr>
        <w:t xml:space="preserve">. For information about Innoviva Specialty Therapeutics, go to </w:t>
      </w:r>
      <w:r>
        <w:rPr>
          <w:rFonts w:ascii="Times New Roman" w:hAnsi="Times New Roman"/>
          <w:sz w:val="20"/>
          <w:u w:val="single"/>
        </w:rPr>
        <w:t>www.innovivaspecialtytherapeutics.com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ANORO®, RELVAR® and BREO® are trademarks of the GSK group of companies. ZEVTERA is a trademark of Basilea Pharmaceutica Ltd, Allschwil.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certain “forward-looking” statements as that term is defined in the Private Securities Litigation Reform Act of 1995 regarding, among other things, statements relating to goals, plans, objectives, and future events. Innoviva intends such forward-looking statements to be covered by the safe harbor provisions for forward-looking statements contained in Section 21E of the Securities Exchange Act of 1934 and the Private Securities Litigation Reform Act of 1995. The words “anticipate”, “expect”, “goal”, “intend”, “objective”, “opportunity”, “plan”, “potential”, “target” and similar expressions are intended to identify such forward-looking statements. Such forward-looking statements involve substantial risks, uncertainties, and assumptions. These statements are based on the current estimates and assumptions of the management of Innoviva as of the date of this press release and are subject to known and unknown risks, uncertainties, changes in circumstances, assumptions and other factors that may cause the actual results of Innoviva to be materially different from those reflected in the forward-looking statements. Important factors that could cause actual results to differ materially from those indicated by such forward-looking statements include, among others, risks related to: expected cost savings; lower than expected future royalty revenue from respiratory products partnered with GSK; the commercialization of RELVAR®/BREO® ELLIPTA®, ANORO® ELLIPTA®, GIAPREZA®, XERAVA®, XACDURO®, ZEVTERA® and NUZOLVENCE® in the jurisdictions in which these products have been approved; the strategies, plans and objectives of Innoviva (including Innoviva’s growth strategy and corporate development initiatives); the timing, manner, and amount of potential capital returns to shareholders; the development of the LYNX® platform; the status and timing of clinical studies, data analysis and communication of results; the potential benefits and mechanisms of action of product candidates; expectations for product candidates through development and commercialization; the timing of regulatory approval of product candidates; and projections of revenue, expenses and other financial items; the timing, manner and amount of capital deployment, including potential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247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57350" cy="2476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returns to stockholders; and risks related to the Company’s growth strategy. Other risks affecting Innoviva are described under the headings “Risk Factors” and “Management’s Discussion and Analysis of Financial Condition and Results of Operations” contained in Innoviva’s Annual Report on Form 10-K for the year ended December 31, 2025 and Quarterly Reports on Form 10-Q, which are on file with the Securities and Exchange Commission (“SEC”) and available on the SEC’s website at </w:t>
      </w:r>
      <w:r>
        <w:rPr>
          <w:rFonts w:ascii="Times New Roman" w:hAnsi="Times New Roman"/>
          <w:sz w:val="20"/>
          <w:u w:val="single"/>
        </w:rPr>
        <w:t>www.sec.gov</w:t>
      </w:r>
      <w:r>
        <w:rPr>
          <w:rFonts w:ascii="Times New Roman" w:hAnsi="Times New Roman"/>
          <w:sz w:val="20"/>
        </w:rPr>
        <w:t xml:space="preserve">. Past performance is not necessarily indicative of future results. No forward-looking statements can be guaranteed, and actual results may differ materially from such statements. Given these uncertainties, you should not place undue reliance on these forward-looking statements. The information in this press release is provided only as of the date hereof, and Innoviva assumes no obligation to update its forward-looking statements on account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247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57350" cy="2476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INNOVIVA,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Statements of Income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per share data)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1"/>
        <w:gridCol w:w="208"/>
        <w:gridCol w:w="140"/>
        <w:gridCol w:w="921"/>
        <w:gridCol w:w="155"/>
        <w:gridCol w:w="161"/>
        <w:gridCol w:w="140"/>
        <w:gridCol w:w="805"/>
        <w:gridCol w:w="155"/>
        <w:gridCol w:w="161"/>
        <w:gridCol w:w="140"/>
        <w:gridCol w:w="805"/>
        <w:gridCol w:w="263"/>
        <w:gridCol w:w="160"/>
        <w:gridCol w:w="140"/>
        <w:gridCol w:w="805"/>
        <w:gridCol w:w="185"/>
      </w:tblGrid>
      <w:tr>
        <w:trPr/>
        <w:tc>
          <w:tcPr>
            <w:tcW w:w="4861"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6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322"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June 30,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3"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185" w:type="dxa"/>
            <w:tcBorders/>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85" w:type="dxa"/>
            <w:tcBorders/>
            <w:vAlign w:val="bottom"/>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Royalty revenue, net (1)</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56,334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63,880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111,501</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121,687</w:t>
            </w:r>
          </w:p>
        </w:tc>
        <w:tc>
          <w:tcPr>
            <w:tcW w:w="185" w:type="dxa"/>
            <w:tcBorders/>
            <w:vAlign w:val="bottom"/>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product sales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51,771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35,493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93,142</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65,772</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License and other revenue</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11,486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910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12,942</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1,456</w:t>
            </w:r>
          </w:p>
        </w:tc>
        <w:tc>
          <w:tcPr>
            <w:tcW w:w="185" w:type="dxa"/>
            <w:tcBorders/>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119,591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100,283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217,585</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188,915</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Cost of products sold (inclusive of amortization of inventory fair value adjustments)</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22,349</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10,590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37,956</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19,432</w:t>
            </w:r>
          </w:p>
        </w:tc>
        <w:tc>
          <w:tcPr>
            <w:tcW w:w="185" w:type="dxa"/>
            <w:tcBorders/>
            <w:vAlign w:val="bottom"/>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6,626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6,547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13,180</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13,022</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90,616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83,146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166,449</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156,461</w:t>
            </w:r>
          </w:p>
        </w:tc>
        <w:tc>
          <w:tcPr>
            <w:tcW w:w="185" w:type="dxa"/>
            <w:tcBorders/>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34,571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26,412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67,009</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53,903</w:t>
            </w:r>
          </w:p>
        </w:tc>
        <w:tc>
          <w:tcPr>
            <w:tcW w:w="185" w:type="dxa"/>
            <w:tcBorders/>
            <w:vAlign w:val="bottom"/>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5,190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7,983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10,431</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12,379</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39,761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34,395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77,440</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66,282</w:t>
            </w:r>
          </w:p>
        </w:tc>
        <w:tc>
          <w:tcPr>
            <w:tcW w:w="185" w:type="dxa"/>
            <w:tcBorders/>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50,855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48,751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89,009</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90,179</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fair values of equity method investments, net</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(131,834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13,082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25,816</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(467</w:t>
            </w:r>
          </w:p>
        </w:tc>
        <w:tc>
          <w:tcPr>
            <w:tcW w:w="185" w:type="dxa"/>
            <w:tcBorders/>
            <w:vAlign w:val="bottom"/>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fair values of equity and long-term investments, net</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(29,153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11,280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4,422</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(54,019</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dividend income</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7,599</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4,925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18,586</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9,463</w:t>
            </w:r>
          </w:p>
        </w:tc>
        <w:tc>
          <w:tcPr>
            <w:tcW w:w="185" w:type="dxa"/>
            <w:tcBorders/>
            <w:vAlign w:val="bottom"/>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(5,472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(4,663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(10,909</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(9,374</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(777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(381</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(1,773</w:t>
            </w:r>
          </w:p>
        </w:tc>
        <w:tc>
          <w:tcPr>
            <w:tcW w:w="185" w:type="dxa"/>
            <w:tcBorders/>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(108,020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72,598</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126,543</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34,009</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24,600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(8,910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(23,368</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(16,905</w:t>
            </w:r>
          </w:p>
        </w:tc>
        <w:tc>
          <w:tcPr>
            <w:tcW w:w="185" w:type="dxa"/>
            <w:tcBorders/>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(83,420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63,688</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103,175</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17,104</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1.40</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0.27</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0.77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1.25</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0.24</w:t>
            </w:r>
          </w:p>
        </w:tc>
        <w:tc>
          <w:tcPr>
            <w:tcW w:w="185" w:type="dxa"/>
            <w:tcBorders/>
            <w:vAlign w:val="bottom"/>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used to compute net income (loss) per share:</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73,421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62,865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73,789</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62,787</w:t>
            </w:r>
          </w:p>
        </w:tc>
        <w:tc>
          <w:tcPr>
            <w:tcW w:w="185" w:type="dxa"/>
            <w:tcBorders/>
            <w:vAlign w:val="bottom"/>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73,421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84,452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84,529</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84,342</w:t>
            </w:r>
          </w:p>
        </w:tc>
        <w:tc>
          <w:tcPr>
            <w:tcW w:w="185" w:type="dxa"/>
            <w:tcBorders/>
            <w:shd w:fill="CCEEFF" w:val="clear"/>
            <w:vAlign w:val="bottom"/>
          </w:tcPr>
          <w:p>
            <w:pPr>
              <w:pStyle w:val="TableContents"/>
              <w:bidi w:val="0"/>
              <w:spacing w:before="0" w:after="283"/>
              <w:jc w:val="left"/>
              <w:rPr/>
            </w:pPr>
            <w:r>
              <w:rPr/>
              <w:t> </w:t>
            </w:r>
          </w:p>
        </w:tc>
      </w:tr>
      <w:tr>
        <w:trPr>
          <w:trHeight w:val="195" w:hRule="atLeast"/>
        </w:trPr>
        <w:tc>
          <w:tcPr>
            <w:tcW w:w="10205" w:type="dxa"/>
            <w:gridSpan w:val="17"/>
            <w:tcBorders/>
            <w:vAlign w:val="center"/>
          </w:tcPr>
          <w:p>
            <w:pPr>
              <w:pStyle w:val="TableContents"/>
              <w:bidi w:val="0"/>
              <w:spacing w:before="0" w:after="283"/>
              <w:jc w:val="left"/>
              <w:rPr>
                <w:sz w:val="4"/>
                <w:szCs w:val="4"/>
              </w:rPr>
            </w:pPr>
            <w:r>
              <w:rPr>
                <w:sz w:val="4"/>
                <w:szCs w:val="4"/>
              </w:rPr>
            </w:r>
          </w:p>
        </w:tc>
      </w:tr>
      <w:tr>
        <w:trPr/>
        <w:tc>
          <w:tcPr>
            <w:tcW w:w="10020" w:type="dxa"/>
            <w:gridSpan w:val="16"/>
            <w:tcBorders/>
          </w:tcPr>
          <w:p>
            <w:pPr>
              <w:pStyle w:val="TableContents"/>
              <w:bidi w:val="0"/>
              <w:spacing w:before="0" w:after="0"/>
              <w:jc w:val="left"/>
              <w:rPr>
                <w:rFonts w:ascii="Times New Roman" w:hAnsi="Times New Roman"/>
                <w:sz w:val="20"/>
              </w:rPr>
            </w:pPr>
            <w:r>
              <w:rPr>
                <w:rFonts w:ascii="Times New Roman" w:hAnsi="Times New Roman"/>
                <w:sz w:val="20"/>
              </w:rPr>
              <w:t>(1)   Total net revenue is comprised of the following (in thousands):</w:t>
            </w:r>
          </w:p>
        </w:tc>
        <w:tc>
          <w:tcPr>
            <w:tcW w:w="185" w:type="dxa"/>
            <w:tcBorders/>
          </w:tcPr>
          <w:p>
            <w:pPr>
              <w:pStyle w:val="TableContents"/>
              <w:bidi w:val="0"/>
              <w:spacing w:before="0" w:after="0"/>
              <w:jc w:val="left"/>
              <w:rPr/>
            </w:pPr>
            <w:r>
              <w:rPr/>
              <w:t>    </w:t>
            </w:r>
          </w:p>
        </w:tc>
      </w:tr>
      <w:tr>
        <w:trPr>
          <w:trHeight w:val="195" w:hRule="atLeast"/>
        </w:trPr>
        <w:tc>
          <w:tcPr>
            <w:tcW w:w="4861" w:type="dxa"/>
            <w:tcBorders/>
            <w:vAlign w:val="center"/>
          </w:tcPr>
          <w:p>
            <w:pPr>
              <w:pStyle w:val="TableContents"/>
              <w:bidi w:val="0"/>
              <w:spacing w:before="0" w:after="283"/>
              <w:jc w:val="left"/>
              <w:rPr>
                <w:sz w:val="4"/>
                <w:szCs w:val="4"/>
              </w:rPr>
            </w:pPr>
            <w:r>
              <w:rPr>
                <w:sz w:val="4"/>
                <w:szCs w:val="4"/>
              </w:rPr>
            </w:r>
          </w:p>
        </w:tc>
        <w:tc>
          <w:tcPr>
            <w:tcW w:w="2685" w:type="dxa"/>
            <w:gridSpan w:val="8"/>
            <w:tcBorders/>
            <w:vAlign w:val="center"/>
          </w:tcPr>
          <w:p>
            <w:pPr>
              <w:pStyle w:val="TableContents"/>
              <w:bidi w:val="0"/>
              <w:spacing w:before="0" w:after="283"/>
              <w:jc w:val="left"/>
              <w:rPr>
                <w:sz w:val="4"/>
                <w:szCs w:val="4"/>
              </w:rPr>
            </w:pPr>
            <w:r>
              <w:rPr>
                <w:sz w:val="4"/>
                <w:szCs w:val="4"/>
              </w:rPr>
            </w:r>
          </w:p>
        </w:tc>
        <w:tc>
          <w:tcPr>
            <w:tcW w:w="2659" w:type="dxa"/>
            <w:gridSpan w:val="8"/>
            <w:tcBorders/>
            <w:vAlign w:val="center"/>
          </w:tcPr>
          <w:p>
            <w:pPr>
              <w:pStyle w:val="TableContents"/>
              <w:bidi w:val="0"/>
              <w:spacing w:before="0" w:after="283"/>
              <w:jc w:val="left"/>
              <w:rPr>
                <w:sz w:val="4"/>
                <w:szCs w:val="4"/>
              </w:rPr>
            </w:pPr>
            <w:r>
              <w:rPr>
                <w:sz w:val="4"/>
                <w:szCs w:val="4"/>
              </w:rPr>
            </w:r>
          </w:p>
        </w:tc>
      </w:tr>
      <w:tr>
        <w:trPr/>
        <w:tc>
          <w:tcPr>
            <w:tcW w:w="486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322"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June 30,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3"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185" w:type="dxa"/>
            <w:tcBorders/>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85" w:type="dxa"/>
            <w:tcBorders/>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322" w:type="dxa"/>
            <w:gridSpan w:val="6"/>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3" w:type="dxa"/>
            <w:gridSpan w:val="6"/>
            <w:tcBorders/>
            <w:vAlign w:val="bottom"/>
          </w:tcPr>
          <w:p>
            <w:pPr>
              <w:pStyle w:val="TableContents"/>
              <w:bidi w:val="0"/>
              <w:spacing w:before="0" w:after="283"/>
              <w:jc w:val="center"/>
              <w:rPr/>
            </w:pPr>
            <w:r>
              <w:rPr/>
              <w:t>(unaudited)</w:t>
            </w:r>
          </w:p>
        </w:tc>
        <w:tc>
          <w:tcPr>
            <w:tcW w:w="185" w:type="dxa"/>
            <w:tcBorders/>
            <w:vAlign w:val="bottom"/>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Royalties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59,790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67,336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118,413</w:t>
            </w:r>
          </w:p>
        </w:tc>
        <w:tc>
          <w:tcPr>
            <w:tcW w:w="2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128,599</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capitalized fees</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(3,456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(3,456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(6,912</w:t>
            </w:r>
          </w:p>
        </w:tc>
        <w:tc>
          <w:tcPr>
            <w:tcW w:w="2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(6,912</w:t>
            </w:r>
          </w:p>
        </w:tc>
        <w:tc>
          <w:tcPr>
            <w:tcW w:w="185" w:type="dxa"/>
            <w:tcBorders/>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r>
        <w:trPr/>
        <w:tc>
          <w:tcPr>
            <w:tcW w:w="4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revenue, net</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56,334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63,880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111,501</w:t>
            </w:r>
          </w:p>
        </w:tc>
        <w:tc>
          <w:tcPr>
            <w:tcW w:w="263" w:type="dxa"/>
            <w:tcBorders/>
            <w:shd w:fill="CCEEFF" w:val="clear"/>
            <w:vAlign w:val="bottom"/>
          </w:tcPr>
          <w:p>
            <w:pPr>
              <w:pStyle w:val="TableContents"/>
              <w:bidi w:val="0"/>
              <w:spacing w:before="0" w:after="283"/>
              <w:jc w:val="left"/>
              <w:rPr/>
            </w:pPr>
            <w:r>
              <w:rPr/>
              <w:t> </w:t>
            </w:r>
            <w:r>
              <w:rPr/>
              <w:t>#</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121,687</w:t>
            </w:r>
          </w:p>
        </w:tc>
        <w:tc>
          <w:tcPr>
            <w:tcW w:w="185" w:type="dxa"/>
            <w:tcBorders/>
            <w:shd w:fill="CCEEFF" w:val="clear"/>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263"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247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57350" cy="2476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INNOVIVA, INC. </w:t>
      </w:r>
    </w:p>
    <w:p>
      <w:pPr>
        <w:pStyle w:val="TextBody"/>
        <w:bidi w:val="0"/>
        <w:spacing w:before="0" w:after="0"/>
        <w:jc w:val="center"/>
        <w:rPr>
          <w:rFonts w:ascii="Times New Roman" w:hAnsi="Times New Roman"/>
          <w:sz w:val="20"/>
        </w:rPr>
      </w:pPr>
      <w:r>
        <w:rPr>
          <w:rFonts w:ascii="Times New Roman" w:hAnsi="Times New Roman"/>
          <w:sz w:val="20"/>
        </w:rPr>
        <w:t xml:space="preserve">Condensed 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40"/>
        <w:gridCol w:w="229"/>
        <w:gridCol w:w="140"/>
        <w:gridCol w:w="985"/>
        <w:gridCol w:w="60"/>
        <w:gridCol w:w="229"/>
        <w:gridCol w:w="169"/>
        <w:gridCol w:w="1189"/>
        <w:gridCol w:w="64"/>
      </w:tblGrid>
      <w:tr>
        <w:trPr/>
        <w:tc>
          <w:tcPr>
            <w:tcW w:w="714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14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pPr>
            <w:r>
              <w:rPr/>
              <w:t>June 30,</w:t>
              <w:br/>
              <w:t>2026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pPr>
            <w:r>
              <w:rPr/>
              <w:t>December 31,</w:t>
              <w:br/>
              <w:t>2025</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570,388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550,941</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Royalty and product sale receivables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110,616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93,317</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38,968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39,172</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 and other current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24,726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28,358</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ISP Fund investments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8,668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15,727</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2,133</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1,555</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Equity method and equity and long-term investments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660,850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598,223</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fees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49,226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56,138</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10,377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10,929</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17,905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17,905</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168,976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182,156</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39,894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40,744</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1,702,727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1,635,165</w:t>
            </w:r>
          </w:p>
        </w:tc>
        <w:tc>
          <w:tcPr>
            <w:tcW w:w="64" w:type="dxa"/>
            <w:tcBorders/>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and stockholders’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39,431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43,808</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 payable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1,618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1,618</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6,015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4,270</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senior notes, due 2028, net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258,454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257,731</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36,739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31,793</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 long term</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59,932</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57,013</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67,276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66,091</w:t>
            </w:r>
          </w:p>
        </w:tc>
        <w:tc>
          <w:tcPr>
            <w:tcW w:w="64" w:type="dxa"/>
            <w:tcBorders/>
            <w:vAlign w:val="bottom"/>
          </w:tcPr>
          <w:p>
            <w:pPr>
              <w:pStyle w:val="TableContents"/>
              <w:bidi w:val="0"/>
              <w:spacing w:before="0" w:after="283"/>
              <w:jc w:val="left"/>
              <w:rPr/>
            </w:pPr>
            <w:r>
              <w:rPr/>
              <w:t> </w:t>
            </w:r>
          </w:p>
        </w:tc>
      </w:tr>
      <w:tr>
        <w:trPr/>
        <w:tc>
          <w:tcPr>
            <w:tcW w:w="7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1,233,262</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1,172,841</w:t>
            </w:r>
          </w:p>
        </w:tc>
        <w:tc>
          <w:tcPr>
            <w:tcW w:w="64" w:type="dxa"/>
            <w:tcBorders/>
            <w:shd w:fill="CCEEFF" w:val="clear"/>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4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1,702,727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1,635,165</w:t>
            </w:r>
          </w:p>
        </w:tc>
        <w:tc>
          <w:tcPr>
            <w:tcW w:w="64" w:type="dxa"/>
            <w:tcBorders/>
            <w:vAlign w:val="bottom"/>
          </w:tcPr>
          <w:p>
            <w:pPr>
              <w:pStyle w:val="TableContents"/>
              <w:bidi w:val="0"/>
              <w:spacing w:before="0" w:after="283"/>
              <w:jc w:val="left"/>
              <w:rPr/>
            </w:pPr>
            <w:r>
              <w:rPr/>
              <w:t> </w:t>
            </w:r>
          </w:p>
        </w:tc>
      </w:tr>
      <w:tr>
        <w:trPr/>
        <w:tc>
          <w:tcPr>
            <w:tcW w:w="714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247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57350" cy="2476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INNOVIVA, INC. </w:t>
      </w:r>
    </w:p>
    <w:p>
      <w:pPr>
        <w:pStyle w:val="TextBody"/>
        <w:bidi w:val="0"/>
        <w:spacing w:before="0" w:after="0"/>
        <w:jc w:val="center"/>
        <w:rPr>
          <w:rFonts w:ascii="Times New Roman" w:hAnsi="Times New Roman"/>
          <w:sz w:val="20"/>
        </w:rPr>
      </w:pPr>
      <w:r>
        <w:rPr>
          <w:rFonts w:ascii="Times New Roman" w:hAnsi="Times New Roman"/>
          <w:sz w:val="20"/>
        </w:rPr>
        <w:t xml:space="preserve">Cash Flows Summary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77"/>
        <w:gridCol w:w="236"/>
        <w:gridCol w:w="172"/>
        <w:gridCol w:w="996"/>
        <w:gridCol w:w="191"/>
        <w:gridCol w:w="204"/>
        <w:gridCol w:w="172"/>
        <w:gridCol w:w="998"/>
        <w:gridCol w:w="159"/>
      </w:tblGrid>
      <w:tr>
        <w:trPr/>
        <w:tc>
          <w:tcPr>
            <w:tcW w:w="7077"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7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bottom"/>
          </w:tcPr>
          <w:p>
            <w:pPr>
              <w:pStyle w:val="TableContents"/>
              <w:bidi w:val="0"/>
              <w:spacing w:before="0" w:after="283"/>
              <w:jc w:val="center"/>
              <w:rPr/>
            </w:pPr>
            <w:r>
              <w:rPr/>
              <w:t>Six Months Ended June 30,</w:t>
            </w:r>
          </w:p>
        </w:tc>
        <w:tc>
          <w:tcPr>
            <w:tcW w:w="159"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9" w:type="dxa"/>
            <w:tcBorders/>
            <w:vAlign w:val="bottom"/>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87,254</w:t>
            </w:r>
          </w:p>
        </w:tc>
        <w:tc>
          <w:tcPr>
            <w:tcW w:w="1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92,690</w:t>
            </w:r>
          </w:p>
        </w:tc>
        <w:tc>
          <w:tcPr>
            <w:tcW w:w="159" w:type="dxa"/>
            <w:tcBorders/>
            <w:shd w:fill="CCEEFF" w:val="clear"/>
            <w:vAlign w:val="bottom"/>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(18,256</w:t>
            </w:r>
          </w:p>
        </w:tc>
        <w:tc>
          <w:tcPr>
            <w:tcW w:w="1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(1,552</w:t>
            </w:r>
          </w:p>
        </w:tc>
        <w:tc>
          <w:tcPr>
            <w:tcW w:w="159" w:type="dxa"/>
            <w:tcBorders/>
            <w:vAlign w:val="bottom"/>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3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(49,551</w:t>
            </w:r>
          </w:p>
        </w:tc>
        <w:tc>
          <w:tcPr>
            <w:tcW w:w="1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1,430</w:t>
            </w:r>
          </w:p>
        </w:tc>
        <w:tc>
          <w:tcPr>
            <w:tcW w:w="159"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Net change</w:t>
            </w:r>
          </w:p>
        </w:tc>
        <w:tc>
          <w:tcPr>
            <w:tcW w:w="23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19,447</w:t>
            </w:r>
          </w:p>
        </w:tc>
        <w:tc>
          <w:tcPr>
            <w:tcW w:w="1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92,568</w:t>
            </w:r>
          </w:p>
        </w:tc>
        <w:tc>
          <w:tcPr>
            <w:tcW w:w="159" w:type="dxa"/>
            <w:tcBorders/>
            <w:vAlign w:val="bottom"/>
          </w:tcPr>
          <w:p>
            <w:pPr>
              <w:pStyle w:val="TableContents"/>
              <w:bidi w:val="0"/>
              <w:spacing w:before="0" w:after="283"/>
              <w:jc w:val="left"/>
              <w:rPr/>
            </w:pPr>
            <w:r>
              <w:rPr/>
              <w:t> </w:t>
            </w:r>
          </w:p>
        </w:tc>
      </w:tr>
      <w:tr>
        <w:trPr/>
        <w:tc>
          <w:tcPr>
            <w:tcW w:w="7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23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550,941</w:t>
            </w:r>
          </w:p>
        </w:tc>
        <w:tc>
          <w:tcPr>
            <w:tcW w:w="1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304,964</w:t>
            </w:r>
          </w:p>
        </w:tc>
        <w:tc>
          <w:tcPr>
            <w:tcW w:w="159" w:type="dxa"/>
            <w:tcBorders/>
            <w:shd w:fill="CCEEFF" w:val="clear"/>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7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23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570,388</w:t>
            </w:r>
          </w:p>
        </w:tc>
        <w:tc>
          <w:tcPr>
            <w:tcW w:w="1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397,532</w:t>
            </w:r>
          </w:p>
        </w:tc>
        <w:tc>
          <w:tcPr>
            <w:tcW w:w="159" w:type="dxa"/>
            <w:tcBorders/>
            <w:vAlign w:val="bottom"/>
          </w:tcPr>
          <w:p>
            <w:pPr>
              <w:pStyle w:val="TableContents"/>
              <w:bidi w:val="0"/>
              <w:spacing w:before="0" w:after="283"/>
              <w:jc w:val="left"/>
              <w:rPr/>
            </w:pPr>
            <w:r>
              <w:rPr/>
              <w:t> </w:t>
            </w:r>
          </w:p>
        </w:tc>
      </w:tr>
      <w:tr>
        <w:trPr/>
        <w:tc>
          <w:tcPr>
            <w:tcW w:w="7077"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247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57350" cy="2476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Investors and media contact </w:t>
      </w:r>
    </w:p>
    <w:p>
      <w:pPr>
        <w:pStyle w:val="TextBody"/>
        <w:bidi w:val="0"/>
        <w:spacing w:before="120" w:after="0"/>
        <w:jc w:val="left"/>
        <w:rPr>
          <w:rFonts w:ascii="Times New Roman" w:hAnsi="Times New Roman"/>
          <w:sz w:val="20"/>
        </w:rPr>
      </w:pPr>
      <w:r>
        <w:rPr>
          <w:rFonts w:ascii="Times New Roman" w:hAnsi="Times New Roman"/>
          <w:sz w:val="20"/>
        </w:rPr>
        <w:t xml:space="preserve">Irwin Tendler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Development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investors.relations@inva.com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2611</Words>
  <Characters>15257</Characters>
  <CharactersWithSpaces>18477</CharactersWithSpaces>
  <Paragraphs>1269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