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DiPaolo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OLD BAYSHORE HIGHWAY,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Innoviva, Inc.</w:t>
              </w:r>
            </w:hyperlink>
            <w:r>
              <w:rPr/>
              <w:t xml:space="preserve"> [ </w:t>
            </w:r>
            <w:r>
              <w:rPr>
                <w:rFonts w:ascii="Times;serif" w:hAnsi="Times;serif"/>
                <w:color w:val="0000FF"/>
                <w:sz w:val="24"/>
                <w:shd w:fill="FFFFFF" w:val="clear"/>
              </w:rPr>
              <w:t>INVA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9,786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140,492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12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Non-statutory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05/04/2027</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and non-statutory stock options ("Options") upon the conclusion of the Issuer's 2026 annual meeting of stockholders. 100% of the RSUs and Options will vest at the sooner of the next annual stockholder meeting or the one-year anniversary of grant, subject to the Reporting Person's continuous service as an Outside Director through the applicable vesting date, with accelerated vesting upon the Reporting Person's death, disability, or in the event of a "change in control" (as defined in the Issuer's 2026 Equity Incentive Plan), provided that the Reporting Person has not experienced a termination prior to such "change in control," death or disability.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DiPaolo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816" TargetMode="External"/><Relationship Id="rId5" Type="http://schemas.openxmlformats.org/officeDocument/2006/relationships/hyperlink" Target="http://www.sec.gov/cgi-bin/browse-edgar?action=getcompany&amp;CIK=00010800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3726</Characters>
  <CharactersWithSpaces>4341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